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0D62A">
      <w:r>
        <w:rPr>
          <w:rFonts w:ascii="黑体" w:hAnsi="黑体" w:eastAsia="黑体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-12700</wp:posOffset>
                </wp:positionH>
                <wp:positionV relativeFrom="paragraph">
                  <wp:posOffset>31750</wp:posOffset>
                </wp:positionV>
                <wp:extent cx="5295900" cy="8794750"/>
                <wp:effectExtent l="0" t="0" r="19050" b="2540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879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472AE4FF"/>
                          <w:p w14:paraId="539FD411"/>
                          <w:p w14:paraId="35976A51"/>
                          <w:p w14:paraId="0CD66C9C">
                            <w:pPr>
                              <w:pStyle w:val="15"/>
                              <w:spacing w:line="360" w:lineRule="auto"/>
                              <w:ind w:firstLine="0" w:firstLineChars="0"/>
                              <w:jc w:val="distribute"/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</w:pPr>
                          </w:p>
                          <w:p w14:paraId="19116594">
                            <w:pPr>
                              <w:pStyle w:val="15"/>
                              <w:spacing w:line="360" w:lineRule="auto"/>
                              <w:ind w:firstLine="0" w:firstLineChars="0"/>
                              <w:jc w:val="distribute"/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72"/>
                                <w:szCs w:val="72"/>
                              </w:rPr>
                              <w:t>团体标准</w:t>
                            </w:r>
                          </w:p>
                          <w:p w14:paraId="4B72AE7D">
                            <w:pPr>
                              <w:pStyle w:val="15"/>
                              <w:spacing w:line="360" w:lineRule="auto"/>
                              <w:ind w:firstLine="5740" w:firstLineChars="2050"/>
                              <w:rPr>
                                <w:rFonts w:hint="eastAsia" w:ascii="黑体" w:hAnsi="黑体" w:eastAsia="黑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8"/>
                                <w:szCs w:val="28"/>
                              </w:rPr>
                              <w:t xml:space="preserve">T/ZJDB 003-2024 </w:t>
                            </w:r>
                          </w:p>
                          <w:p w14:paraId="099CD571">
                            <w:pPr>
                              <w:pStyle w:val="13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60B51655">
                            <w:pPr>
                              <w:pStyle w:val="13"/>
                              <w:jc w:val="both"/>
                            </w:pPr>
                          </w:p>
                          <w:p w14:paraId="3858C13A">
                            <w:pPr>
                              <w:pStyle w:val="15"/>
                              <w:spacing w:line="360" w:lineRule="auto"/>
                              <w:ind w:firstLine="0" w:firstLineChars="0"/>
                              <w:jc w:val="center"/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</w:pPr>
                            <w:bookmarkStart w:id="227" w:name="OLE_LINK2"/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科技金融领域系列标准 第2部分：</w:t>
                            </w:r>
                          </w:p>
                          <w:p w14:paraId="1E26A342">
                            <w:pPr>
                              <w:pStyle w:val="15"/>
                              <w:spacing w:line="360" w:lineRule="auto"/>
                              <w:ind w:firstLine="0" w:firstLineChars="0"/>
                              <w:jc w:val="center"/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银行厅堂管理人员职业能力要求</w:t>
                            </w:r>
                          </w:p>
                          <w:bookmarkEnd w:id="227"/>
                          <w:p w14:paraId="4B51CF6D">
                            <w:pPr>
                              <w:pStyle w:val="13"/>
                              <w:jc w:val="center"/>
                            </w:pPr>
                            <w:bookmarkStart w:id="228" w:name="_Hlk184649625"/>
                            <w:r>
                              <w:rPr>
                                <w:rFonts w:ascii="黑体" w:hAnsi="黑体" w:cs="Times New Roman"/>
                                <w:sz w:val="24"/>
                                <w:szCs w:val="24"/>
                              </w:rPr>
                              <w:t xml:space="preserve">Series of Standards in the Field of Technology and Finance Part </w:t>
                            </w:r>
                            <w:r>
                              <w:rPr>
                                <w:rFonts w:hint="eastAsia" w:ascii="黑体" w:hAnsi="黑体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黑体" w:hAnsi="黑体" w:cs="Times New Roman"/>
                                <w:sz w:val="24"/>
                                <w:szCs w:val="24"/>
                              </w:rPr>
                              <w:t>:</w:t>
                            </w:r>
                            <w:bookmarkEnd w:id="228"/>
                            <w:r>
                              <w:rPr>
                                <w:rFonts w:ascii="黑体" w:hAnsi="黑体" w:cs="Times New Roman"/>
                                <w:sz w:val="24"/>
                                <w:szCs w:val="24"/>
                              </w:rPr>
                              <w:t xml:space="preserve"> Requirements for the professional competence of bank hall managers</w:t>
                            </w:r>
                          </w:p>
                          <w:p w14:paraId="1C8F6822">
                            <w:pPr>
                              <w:pStyle w:val="13"/>
                              <w:jc w:val="both"/>
                            </w:pPr>
                          </w:p>
                          <w:p w14:paraId="449AAA88">
                            <w:pPr>
                              <w:pStyle w:val="13"/>
                              <w:jc w:val="both"/>
                            </w:pPr>
                          </w:p>
                          <w:p w14:paraId="7C8CF680">
                            <w:pPr>
                              <w:pStyle w:val="13"/>
                              <w:jc w:val="both"/>
                            </w:pPr>
                          </w:p>
                          <w:p w14:paraId="46D97733">
                            <w:pPr>
                              <w:pStyle w:val="13"/>
                              <w:jc w:val="both"/>
                            </w:pPr>
                          </w:p>
                          <w:p w14:paraId="1FBEAC2E">
                            <w:pPr>
                              <w:pStyle w:val="13"/>
                              <w:jc w:val="both"/>
                            </w:pPr>
                          </w:p>
                          <w:p w14:paraId="70E03394">
                            <w:pPr>
                              <w:pStyle w:val="13"/>
                              <w:jc w:val="both"/>
                            </w:pPr>
                          </w:p>
                          <w:p w14:paraId="6427B0EC">
                            <w:pPr>
                              <w:pStyle w:val="13"/>
                              <w:jc w:val="both"/>
                            </w:pPr>
                          </w:p>
                          <w:p w14:paraId="61BB26D3">
                            <w:pPr>
                              <w:pStyle w:val="13"/>
                              <w:jc w:val="both"/>
                            </w:pPr>
                          </w:p>
                          <w:p w14:paraId="78A35904">
                            <w:pPr>
                              <w:pStyle w:val="17"/>
                              <w:rPr>
                                <w:rFonts w:hint="eastAsia" w:ascii="Times New Roman" w:eastAsia="方正小标宋简体"/>
                                <w:bCs/>
                                <w:spacing w:val="0"/>
                                <w:w w:val="1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D9AEF08">
                            <w:pPr>
                              <w:pStyle w:val="17"/>
                              <w:jc w:val="both"/>
                              <w:rPr>
                                <w:rFonts w:ascii="Times New Roman" w:eastAsia="方正小标宋简体"/>
                                <w:bCs/>
                                <w:spacing w:val="0"/>
                                <w:w w:val="1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" o:spid="_x0000_s1026" o:spt="1" style="position:absolute;left:0pt;margin-left:-1pt;margin-top:2.5pt;height:692.5pt;width:417pt;mso-position-horizontal-relative:margin;z-index:251659264;mso-width-relative:page;mso-height-relative:page;" fillcolor="#FFFFFF" filled="t" stroked="t" coordsize="21600,21600" o:gfxdata="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xsK1rYAAAACQEAAA8AAAAAAAAAAQAgAAAAIgAAAGRycy9k&#10;b3ducmV2LnhtbFBLAQIUABQAAAAIAIdO4kAiRtuCOwIAAH4EAAAOAAAAAAAAAAEAIAAAACcBAABk&#10;cnMvZTJvRG9jLnhtbFBLBQYAAAAABgAGAFkBAADUBQAAAAA=&#10;">
                <v:fill on="t" focussize="0,0"/>
                <v:stroke weight="0.5pt" color="#000000" miterlimit="2" joinstyle="miter"/>
                <v:imagedata o:title=""/>
                <o:lock v:ext="edit" aspectratio="f"/>
                <v:textbox>
                  <w:txbxContent>
                    <w:p w14:paraId="472AE4FF"/>
                    <w:p w14:paraId="539FD411"/>
                    <w:p w14:paraId="35976A51"/>
                    <w:p w14:paraId="0CD66C9C">
                      <w:pPr>
                        <w:pStyle w:val="15"/>
                        <w:spacing w:line="360" w:lineRule="auto"/>
                        <w:ind w:firstLine="0" w:firstLineChars="0"/>
                        <w:jc w:val="distribute"/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</w:pPr>
                    </w:p>
                    <w:p w14:paraId="19116594">
                      <w:pPr>
                        <w:pStyle w:val="15"/>
                        <w:spacing w:line="360" w:lineRule="auto"/>
                        <w:ind w:firstLine="0" w:firstLineChars="0"/>
                        <w:jc w:val="distribute"/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黑体" w:hAnsi="黑体" w:eastAsia="黑体"/>
                          <w:sz w:val="72"/>
                          <w:szCs w:val="72"/>
                        </w:rPr>
                        <w:t>团体标准</w:t>
                      </w:r>
                    </w:p>
                    <w:p w14:paraId="4B72AE7D">
                      <w:pPr>
                        <w:pStyle w:val="15"/>
                        <w:spacing w:line="360" w:lineRule="auto"/>
                        <w:ind w:firstLine="5740" w:firstLineChars="2050"/>
                        <w:rPr>
                          <w:rFonts w:hint="eastAsia" w:ascii="黑体" w:hAnsi="黑体" w:eastAsia="黑体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/>
                          <w:sz w:val="28"/>
                          <w:szCs w:val="28"/>
                        </w:rPr>
                        <w:t xml:space="preserve">T/ZJDB 003-2024 </w:t>
                      </w:r>
                    </w:p>
                    <w:p w14:paraId="099CD571">
                      <w:pPr>
                        <w:pStyle w:val="13"/>
                        <w:jc w:val="both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14:paraId="60B51655">
                      <w:pPr>
                        <w:pStyle w:val="13"/>
                        <w:jc w:val="both"/>
                      </w:pPr>
                    </w:p>
                    <w:p w14:paraId="3858C13A">
                      <w:pPr>
                        <w:pStyle w:val="15"/>
                        <w:spacing w:line="36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</w:pPr>
                      <w:bookmarkStart w:id="227" w:name="OLE_LINK2"/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科技金融领域系列标准 第2部分：</w:t>
                      </w:r>
                    </w:p>
                    <w:p w14:paraId="1E26A342">
                      <w:pPr>
                        <w:pStyle w:val="15"/>
                        <w:spacing w:line="36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银行厅堂管理人员职业能力要求</w:t>
                      </w:r>
                    </w:p>
                    <w:bookmarkEnd w:id="227"/>
                    <w:p w14:paraId="4B51CF6D">
                      <w:pPr>
                        <w:pStyle w:val="13"/>
                        <w:jc w:val="center"/>
                      </w:pPr>
                      <w:bookmarkStart w:id="228" w:name="_Hlk184649625"/>
                      <w:r>
                        <w:rPr>
                          <w:rFonts w:ascii="黑体" w:hAnsi="黑体" w:cs="Times New Roman"/>
                          <w:sz w:val="24"/>
                          <w:szCs w:val="24"/>
                        </w:rPr>
                        <w:t xml:space="preserve">Series of Standards in the Field of Technology and Finance Part </w:t>
                      </w:r>
                      <w:r>
                        <w:rPr>
                          <w:rFonts w:hint="eastAsia" w:ascii="黑体" w:hAnsi="黑体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黑体" w:hAnsi="黑体" w:cs="Times New Roman"/>
                          <w:sz w:val="24"/>
                          <w:szCs w:val="24"/>
                        </w:rPr>
                        <w:t>:</w:t>
                      </w:r>
                      <w:bookmarkEnd w:id="228"/>
                      <w:r>
                        <w:rPr>
                          <w:rFonts w:ascii="黑体" w:hAnsi="黑体" w:cs="Times New Roman"/>
                          <w:sz w:val="24"/>
                          <w:szCs w:val="24"/>
                        </w:rPr>
                        <w:t xml:space="preserve"> Requirements for the professional competence of bank hall managers</w:t>
                      </w:r>
                    </w:p>
                    <w:p w14:paraId="1C8F6822">
                      <w:pPr>
                        <w:pStyle w:val="13"/>
                        <w:jc w:val="both"/>
                      </w:pPr>
                    </w:p>
                    <w:p w14:paraId="449AAA88">
                      <w:pPr>
                        <w:pStyle w:val="13"/>
                        <w:jc w:val="both"/>
                      </w:pPr>
                    </w:p>
                    <w:p w14:paraId="7C8CF680">
                      <w:pPr>
                        <w:pStyle w:val="13"/>
                        <w:jc w:val="both"/>
                      </w:pPr>
                    </w:p>
                    <w:p w14:paraId="46D97733">
                      <w:pPr>
                        <w:pStyle w:val="13"/>
                        <w:jc w:val="both"/>
                      </w:pPr>
                    </w:p>
                    <w:p w14:paraId="1FBEAC2E">
                      <w:pPr>
                        <w:pStyle w:val="13"/>
                        <w:jc w:val="both"/>
                      </w:pPr>
                    </w:p>
                    <w:p w14:paraId="70E03394">
                      <w:pPr>
                        <w:pStyle w:val="13"/>
                        <w:jc w:val="both"/>
                      </w:pPr>
                    </w:p>
                    <w:p w14:paraId="6427B0EC">
                      <w:pPr>
                        <w:pStyle w:val="13"/>
                        <w:jc w:val="both"/>
                      </w:pPr>
                    </w:p>
                    <w:p w14:paraId="61BB26D3">
                      <w:pPr>
                        <w:pStyle w:val="13"/>
                        <w:jc w:val="both"/>
                      </w:pPr>
                    </w:p>
                    <w:p w14:paraId="78A35904">
                      <w:pPr>
                        <w:pStyle w:val="17"/>
                        <w:rPr>
                          <w:rFonts w:hint="eastAsia" w:ascii="Times New Roman" w:eastAsia="方正小标宋简体"/>
                          <w:bCs/>
                          <w:spacing w:val="0"/>
                          <w:w w:val="1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eastAsia="方正小标宋简体"/>
                          <w:lang w:val="en-US" w:eastAsia="zh-CN"/>
                        </w:rPr>
                        <w:t xml:space="preserve"> </w:t>
                      </w:r>
                    </w:p>
                    <w:p w14:paraId="2D9AEF08">
                      <w:pPr>
                        <w:pStyle w:val="17"/>
                        <w:jc w:val="both"/>
                        <w:rPr>
                          <w:rFonts w:ascii="Times New Roman" w:eastAsia="方正小标宋简体"/>
                          <w:bCs/>
                          <w:spacing w:val="0"/>
                          <w:w w:val="1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E4FD07">
      <w:pPr>
        <w:pStyle w:val="15"/>
        <w:spacing w:line="360" w:lineRule="auto"/>
        <w:ind w:firstLine="1040"/>
        <w:jc w:val="center"/>
        <w:rPr>
          <w:rFonts w:hint="eastAsia" w:ascii="黑体" w:hAnsi="黑体" w:eastAsia="黑体"/>
          <w:sz w:val="52"/>
          <w:szCs w:val="52"/>
        </w:rPr>
      </w:pPr>
    </w:p>
    <w:p w14:paraId="24CB9B16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  <w:bookmarkStart w:id="0" w:name="_Toc317597302"/>
    </w:p>
    <w:p w14:paraId="32094E8B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2A170323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4FE02AFC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65DDD425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0A207E0A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1B8FFD02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7DE9F21E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12FA522D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282F43C4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3847919E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2CAA24F4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16587438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5A6F3812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77C6FF6D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2841E03A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0243CCA4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</w:p>
    <w:p w14:paraId="7E0E7290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</w:p>
    <w:p w14:paraId="54A231D7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bookmarkStart w:id="1" w:name="_Toc2742"/>
      <w:bookmarkStart w:id="2" w:name="_Toc25344"/>
      <w:bookmarkStart w:id="3" w:name="_Toc18963"/>
      <w:bookmarkStart w:id="4" w:name="_Toc25213"/>
    </w:p>
    <w:p w14:paraId="46A35F3C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目</w:t>
      </w:r>
      <w:r>
        <w:rPr>
          <w:rFonts w:ascii="黑体" w:hAnsi="黑体" w:eastAsia="黑体"/>
          <w:sz w:val="32"/>
          <w:szCs w:val="32"/>
        </w:rPr>
        <w:t xml:space="preserve">  </w:t>
      </w:r>
      <w:r>
        <w:rPr>
          <w:rFonts w:hint="eastAsia" w:ascii="黑体" w:hAnsi="黑体" w:eastAsia="黑体"/>
          <w:sz w:val="32"/>
          <w:szCs w:val="32"/>
        </w:rPr>
        <w:t>次</w:t>
      </w:r>
      <w:bookmarkEnd w:id="1"/>
      <w:bookmarkEnd w:id="2"/>
      <w:bookmarkEnd w:id="3"/>
      <w:bookmarkEnd w:id="4"/>
    </w:p>
    <w:p w14:paraId="051DE643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5" w:name="_Hlk184654796"/>
      <w:r>
        <w:rPr>
          <w:rFonts w:ascii="Times New Roman" w:eastAsia="方正仿宋简体"/>
          <w:sz w:val="24"/>
          <w:szCs w:val="24"/>
        </w:rPr>
        <w:t>前言</w:t>
      </w:r>
      <w:r>
        <w:rPr>
          <w:rFonts w:hint="eastAsia" w:hAnsi="宋体" w:cs="宋体"/>
          <w:sz w:val="24"/>
          <w:szCs w:val="24"/>
        </w:rPr>
        <w:t>﹍﹍﹍﹍﹍﹍﹍﹍﹍﹍﹍﹍﹍﹍﹍﹍﹍﹍﹍﹍﹍﹍﹍﹍﹍﹍﹍﹍</w:t>
      </w:r>
      <w:r>
        <w:rPr>
          <w:rFonts w:ascii="Times New Roman" w:eastAsia="方正仿宋简体"/>
          <w:bCs/>
          <w:sz w:val="24"/>
          <w:szCs w:val="24"/>
        </w:rPr>
        <w:t>1</w:t>
      </w:r>
    </w:p>
    <w:p w14:paraId="67175CF9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6" w:name="_Toc29107"/>
      <w:bookmarkStart w:id="7" w:name="_Toc18856"/>
      <w:bookmarkStart w:id="8" w:name="_Toc29434"/>
      <w:bookmarkStart w:id="9" w:name="_Toc12106"/>
      <w:r>
        <w:rPr>
          <w:rFonts w:ascii="Times New Roman" w:eastAsia="方正仿宋简体"/>
          <w:sz w:val="24"/>
          <w:szCs w:val="24"/>
        </w:rPr>
        <w:t>1 范围</w:t>
      </w:r>
      <w:r>
        <w:rPr>
          <w:rFonts w:hint="eastAsia" w:hAnsi="宋体" w:cs="宋体"/>
          <w:sz w:val="24"/>
          <w:szCs w:val="24"/>
        </w:rPr>
        <w:t>﹍﹍﹍﹍﹍﹍﹍﹍﹍﹍﹍﹍﹍﹍﹍﹍﹍﹍﹍﹍﹍﹍﹍﹍﹍﹍﹍</w:t>
      </w:r>
      <w:bookmarkEnd w:id="6"/>
      <w:bookmarkEnd w:id="7"/>
      <w:bookmarkEnd w:id="8"/>
      <w:bookmarkEnd w:id="9"/>
      <w:r>
        <w:rPr>
          <w:rFonts w:ascii="Times New Roman" w:eastAsia="方正仿宋简体"/>
          <w:bCs/>
          <w:sz w:val="24"/>
          <w:szCs w:val="24"/>
        </w:rPr>
        <w:t>2</w:t>
      </w:r>
    </w:p>
    <w:p w14:paraId="0656A4FC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10" w:name="_Toc32334"/>
      <w:bookmarkStart w:id="11" w:name="_Toc8624"/>
      <w:bookmarkStart w:id="12" w:name="_Toc2893"/>
      <w:bookmarkStart w:id="13" w:name="_Toc20974"/>
      <w:r>
        <w:rPr>
          <w:rFonts w:ascii="Times New Roman" w:eastAsia="方正仿宋简体"/>
          <w:sz w:val="24"/>
          <w:szCs w:val="24"/>
        </w:rPr>
        <w:t>2 规范性引用文件</w:t>
      </w:r>
      <w:r>
        <w:rPr>
          <w:rFonts w:hint="eastAsia" w:hAnsi="宋体" w:cs="宋体"/>
          <w:sz w:val="24"/>
          <w:szCs w:val="24"/>
        </w:rPr>
        <w:t>﹍﹍﹍﹍﹍﹍﹍﹍﹍﹍﹍﹍﹍﹍﹍﹍﹍﹍﹍﹍﹍﹍</w:t>
      </w:r>
      <w:bookmarkEnd w:id="10"/>
      <w:bookmarkEnd w:id="11"/>
      <w:bookmarkEnd w:id="12"/>
      <w:bookmarkEnd w:id="13"/>
      <w:r>
        <w:rPr>
          <w:rFonts w:ascii="Times New Roman" w:eastAsia="方正仿宋简体"/>
          <w:bCs/>
          <w:sz w:val="24"/>
          <w:szCs w:val="24"/>
        </w:rPr>
        <w:t>2</w:t>
      </w:r>
    </w:p>
    <w:p w14:paraId="450419EF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14" w:name="_Toc29560"/>
      <w:bookmarkStart w:id="15" w:name="_Toc26078"/>
      <w:bookmarkStart w:id="16" w:name="_Toc4815"/>
      <w:bookmarkStart w:id="17" w:name="_Toc24794"/>
      <w:r>
        <w:rPr>
          <w:rFonts w:ascii="Times New Roman" w:eastAsia="方正仿宋简体"/>
          <w:sz w:val="24"/>
          <w:szCs w:val="24"/>
        </w:rPr>
        <w:t>3 术语和定义</w:t>
      </w:r>
      <w:r>
        <w:rPr>
          <w:rFonts w:hint="eastAsia" w:hAnsi="宋体" w:cs="宋体"/>
          <w:sz w:val="24"/>
          <w:szCs w:val="24"/>
        </w:rPr>
        <w:t>﹍﹍﹍﹍﹍﹍﹍﹍﹍﹍﹍﹍﹍﹍﹍﹍﹍﹍﹍﹍﹍﹍﹍﹍</w:t>
      </w:r>
      <w:bookmarkEnd w:id="14"/>
      <w:bookmarkEnd w:id="15"/>
      <w:bookmarkEnd w:id="16"/>
      <w:bookmarkEnd w:id="17"/>
      <w:r>
        <w:rPr>
          <w:rFonts w:ascii="Times New Roman" w:eastAsia="方正仿宋简体"/>
          <w:bCs/>
          <w:sz w:val="24"/>
          <w:szCs w:val="24"/>
        </w:rPr>
        <w:t>2</w:t>
      </w:r>
    </w:p>
    <w:p w14:paraId="4963BD1E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18" w:name="_Toc28566"/>
      <w:bookmarkStart w:id="19" w:name="_Toc10164"/>
      <w:bookmarkStart w:id="20" w:name="_Toc10515"/>
      <w:bookmarkStart w:id="21" w:name="_Toc20249"/>
      <w:r>
        <w:rPr>
          <w:rFonts w:ascii="Times New Roman" w:eastAsia="方正仿宋简体"/>
          <w:sz w:val="24"/>
          <w:szCs w:val="24"/>
        </w:rPr>
        <w:t xml:space="preserve">4 </w:t>
      </w:r>
      <w:r>
        <w:rPr>
          <w:rFonts w:hint="eastAsia" w:ascii="Times New Roman" w:eastAsia="方正仿宋简体"/>
          <w:sz w:val="24"/>
          <w:szCs w:val="24"/>
        </w:rPr>
        <w:t>适用</w:t>
      </w:r>
      <w:r>
        <w:rPr>
          <w:rFonts w:ascii="Times New Roman" w:eastAsia="方正仿宋简体"/>
          <w:sz w:val="24"/>
          <w:szCs w:val="24"/>
        </w:rPr>
        <w:t>院校专业</w:t>
      </w:r>
      <w:r>
        <w:rPr>
          <w:rFonts w:hint="eastAsia" w:hAnsi="宋体" w:cs="宋体"/>
          <w:sz w:val="24"/>
          <w:szCs w:val="24"/>
        </w:rPr>
        <w:t>﹍﹍﹍﹍﹍﹍﹍﹍﹍﹍﹍﹍﹍﹍﹍﹍﹍﹍﹍﹍﹍﹍﹍</w:t>
      </w:r>
      <w:bookmarkEnd w:id="18"/>
      <w:bookmarkEnd w:id="19"/>
      <w:bookmarkEnd w:id="20"/>
      <w:bookmarkEnd w:id="21"/>
      <w:r>
        <w:rPr>
          <w:rFonts w:ascii="Times New Roman" w:eastAsia="方正仿宋简体"/>
          <w:bCs/>
          <w:sz w:val="24"/>
          <w:szCs w:val="24"/>
        </w:rPr>
        <w:t>3</w:t>
      </w:r>
    </w:p>
    <w:p w14:paraId="125AF2D4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22" w:name="_Toc29052"/>
      <w:bookmarkStart w:id="23" w:name="_Toc6018"/>
      <w:bookmarkStart w:id="24" w:name="_Toc30683"/>
      <w:bookmarkStart w:id="25" w:name="_Toc31064"/>
      <w:r>
        <w:rPr>
          <w:rFonts w:ascii="Times New Roman" w:eastAsia="方正仿宋简体"/>
          <w:sz w:val="24"/>
          <w:szCs w:val="24"/>
        </w:rPr>
        <w:t>5 面向</w:t>
      </w:r>
      <w:r>
        <w:rPr>
          <w:rFonts w:hint="eastAsia" w:ascii="Times New Roman" w:eastAsia="方正仿宋简体"/>
          <w:sz w:val="24"/>
          <w:szCs w:val="24"/>
        </w:rPr>
        <w:t>职业</w:t>
      </w:r>
      <w:r>
        <w:rPr>
          <w:rFonts w:ascii="Times New Roman" w:eastAsia="方正仿宋简体"/>
          <w:sz w:val="24"/>
          <w:szCs w:val="24"/>
        </w:rPr>
        <w:t>岗位（群）</w:t>
      </w:r>
      <w:r>
        <w:rPr>
          <w:rFonts w:hint="eastAsia" w:hAnsi="宋体" w:cs="宋体"/>
          <w:sz w:val="24"/>
          <w:szCs w:val="24"/>
        </w:rPr>
        <w:t>﹍﹍﹍﹍﹍﹍﹍﹍﹍﹍﹍﹍﹍﹍﹍﹍﹍﹍﹍﹍</w:t>
      </w:r>
      <w:bookmarkEnd w:id="22"/>
      <w:bookmarkEnd w:id="23"/>
      <w:bookmarkEnd w:id="24"/>
      <w:bookmarkEnd w:id="25"/>
      <w:r>
        <w:rPr>
          <w:rFonts w:ascii="Times New Roman" w:eastAsia="方正仿宋简体"/>
          <w:bCs/>
          <w:sz w:val="24"/>
          <w:szCs w:val="24"/>
        </w:rPr>
        <w:t>4</w:t>
      </w:r>
    </w:p>
    <w:p w14:paraId="46227B11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bookmarkStart w:id="26" w:name="_Toc21892"/>
      <w:bookmarkStart w:id="27" w:name="_Toc2231"/>
      <w:bookmarkStart w:id="28" w:name="_Toc8060"/>
      <w:bookmarkStart w:id="29" w:name="_Toc20342"/>
      <w:r>
        <w:rPr>
          <w:rFonts w:ascii="Times New Roman" w:eastAsia="方正仿宋简体"/>
          <w:sz w:val="24"/>
          <w:szCs w:val="24"/>
        </w:rPr>
        <w:t>6 职业</w:t>
      </w:r>
      <w:r>
        <w:rPr>
          <w:rFonts w:hint="eastAsia" w:ascii="Times New Roman" w:eastAsia="方正仿宋简体"/>
          <w:sz w:val="24"/>
          <w:szCs w:val="24"/>
        </w:rPr>
        <w:t>能力</w:t>
      </w:r>
      <w:r>
        <w:rPr>
          <w:rFonts w:ascii="Times New Roman" w:eastAsia="方正仿宋简体"/>
          <w:sz w:val="24"/>
          <w:szCs w:val="24"/>
        </w:rPr>
        <w:t>要求</w:t>
      </w:r>
      <w:r>
        <w:rPr>
          <w:rFonts w:hint="eastAsia" w:hAnsi="宋体" w:cs="宋体"/>
          <w:sz w:val="24"/>
          <w:szCs w:val="24"/>
        </w:rPr>
        <w:t>﹍﹍﹍﹍﹍﹍﹍﹍﹍﹍﹍﹍﹍﹍﹍﹍﹍﹍﹍﹍﹍﹍﹍</w:t>
      </w:r>
      <w:bookmarkEnd w:id="26"/>
      <w:bookmarkEnd w:id="27"/>
      <w:bookmarkEnd w:id="28"/>
      <w:bookmarkEnd w:id="29"/>
      <w:r>
        <w:rPr>
          <w:rFonts w:ascii="Times New Roman" w:eastAsia="方正仿宋简体"/>
          <w:bCs/>
          <w:sz w:val="24"/>
          <w:szCs w:val="24"/>
        </w:rPr>
        <w:t>4</w:t>
      </w:r>
    </w:p>
    <w:p w14:paraId="33D82307">
      <w:pPr>
        <w:pStyle w:val="15"/>
        <w:spacing w:line="480" w:lineRule="auto"/>
        <w:ind w:firstLine="0" w:firstLineChars="0"/>
        <w:contextualSpacing/>
        <w:rPr>
          <w:rFonts w:ascii="Times New Roman" w:eastAsia="方正仿宋简体"/>
          <w:sz w:val="24"/>
          <w:szCs w:val="24"/>
        </w:rPr>
      </w:pPr>
      <w:r>
        <w:rPr>
          <w:rFonts w:ascii="Times New Roman" w:eastAsia="方正仿宋简体"/>
          <w:sz w:val="24"/>
          <w:szCs w:val="24"/>
        </w:rPr>
        <w:t>参考文献</w:t>
      </w:r>
      <w:r>
        <w:rPr>
          <w:rFonts w:hint="eastAsia" w:hAnsi="宋体" w:cs="宋体"/>
          <w:sz w:val="24"/>
          <w:szCs w:val="24"/>
        </w:rPr>
        <w:t>﹍﹍﹍﹍﹍﹍﹍﹍﹍﹍﹍﹍﹍﹍﹍﹍﹍﹍﹍﹍﹍﹍﹍﹍﹍﹍</w:t>
      </w:r>
      <w:r>
        <w:rPr>
          <w:rFonts w:ascii="Times New Roman" w:eastAsia="方正仿宋简体"/>
          <w:bCs/>
          <w:sz w:val="24"/>
          <w:szCs w:val="24"/>
        </w:rPr>
        <w:t>11</w:t>
      </w:r>
    </w:p>
    <w:bookmarkEnd w:id="5"/>
    <w:p w14:paraId="05C493F2">
      <w:pPr>
        <w:pStyle w:val="12"/>
        <w:spacing w:line="480" w:lineRule="auto"/>
        <w:ind w:left="0"/>
        <w:contextualSpacing/>
        <w:rPr>
          <w:rFonts w:hint="eastAsia" w:hAnsi="宋体"/>
          <w:sz w:val="21"/>
          <w:szCs w:val="21"/>
        </w:rPr>
      </w:pPr>
    </w:p>
    <w:p w14:paraId="616C5A91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71842144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74FD1B18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2D056F6A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44900D8C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65649E1B">
      <w:pPr>
        <w:pStyle w:val="15"/>
        <w:spacing w:line="360" w:lineRule="auto"/>
        <w:ind w:firstLine="640"/>
        <w:jc w:val="center"/>
        <w:rPr>
          <w:rFonts w:hint="eastAsia" w:ascii="黑体" w:hAnsi="黑体" w:eastAsia="黑体"/>
          <w:sz w:val="32"/>
          <w:szCs w:val="32"/>
        </w:rPr>
      </w:pPr>
    </w:p>
    <w:p w14:paraId="60126160">
      <w:pPr>
        <w:widowControl/>
        <w:jc w:val="left"/>
        <w:rPr>
          <w:rFonts w:hint="eastAsia" w:ascii="黑体" w:hAnsi="黑体" w:eastAsia="黑体"/>
          <w:szCs w:val="32"/>
        </w:rPr>
      </w:pPr>
      <w:bookmarkStart w:id="30" w:name="_Toc17377"/>
      <w:bookmarkStart w:id="31" w:name="_Toc23460"/>
      <w:bookmarkStart w:id="32" w:name="_Toc27050"/>
      <w:bookmarkStart w:id="33" w:name="_Toc5383"/>
    </w:p>
    <w:p w14:paraId="3C2E8B79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</w:p>
    <w:p w14:paraId="60A97480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  <w:bookmarkEnd w:id="0"/>
      <w:bookmarkEnd w:id="30"/>
      <w:bookmarkEnd w:id="31"/>
      <w:bookmarkEnd w:id="32"/>
      <w:bookmarkEnd w:id="33"/>
      <w:r>
        <w:rPr>
          <w:rFonts w:hint="eastAsia" w:ascii="黑体" w:hAnsi="黑体" w:eastAsia="黑体"/>
          <w:sz w:val="32"/>
          <w:szCs w:val="32"/>
        </w:rPr>
        <w:t>前</w:t>
      </w:r>
      <w:bookmarkStart w:id="34" w:name="BKQY"/>
      <w:r>
        <w:rPr>
          <w:rFonts w:hint="eastAsia" w:ascii="黑体" w:hAnsi="黑体" w:eastAsia="黑体"/>
          <w:sz w:val="32"/>
          <w:szCs w:val="32"/>
        </w:rPr>
        <w:t xml:space="preserve">    言</w:t>
      </w:r>
      <w:bookmarkEnd w:id="34"/>
    </w:p>
    <w:p w14:paraId="5FE740A5">
      <w:pPr>
        <w:pStyle w:val="15"/>
        <w:spacing w:line="600" w:lineRule="exact"/>
        <w:ind w:firstLine="480"/>
        <w:jc w:val="center"/>
        <w:rPr>
          <w:rFonts w:hint="eastAsia" w:ascii="方正仿宋简体" w:hAnsi="方正仿宋简体" w:eastAsia="方正仿宋简体" w:cs="方正仿宋简体"/>
          <w:sz w:val="24"/>
          <w:szCs w:val="24"/>
        </w:rPr>
      </w:pPr>
    </w:p>
    <w:p w14:paraId="58C3FFAE">
      <w:pPr>
        <w:pStyle w:val="15"/>
        <w:ind w:firstLine="400"/>
        <w:rPr>
          <w:rFonts w:hint="eastAsia" w:eastAsia="方正仿宋简体"/>
          <w:kern w:val="0"/>
          <w:sz w:val="24"/>
          <w:szCs w:val="24"/>
          <w:lang w:val="en-US" w:eastAsia="zh-CN"/>
        </w:rPr>
      </w:pPr>
      <w:r>
        <w:rPr>
          <w:rFonts w:hint="eastAsia" w:eastAsia="方正仿宋简体"/>
          <w:kern w:val="0"/>
          <w:sz w:val="24"/>
          <w:szCs w:val="24"/>
          <w:lang w:val="en-US" w:eastAsia="zh-CN"/>
        </w:rPr>
        <w:t xml:space="preserve"> </w:t>
      </w:r>
    </w:p>
    <w:p w14:paraId="59D2ED97">
      <w:pPr>
        <w:ind w:firstLine="420"/>
        <w:rPr>
          <w:rFonts w:eastAsia="方正仿宋简体"/>
        </w:rPr>
      </w:pPr>
      <w:r>
        <w:rPr>
          <w:rFonts w:eastAsia="方正仿宋简体"/>
        </w:rPr>
        <w:t>本标准按照GB/T 1.1-2020《标准化工作导则 第1部分：标准化文件的结构和起草规则》的规定起草。</w:t>
      </w:r>
    </w:p>
    <w:p w14:paraId="0BF1B2CB">
      <w:pPr>
        <w:ind w:firstLine="420"/>
        <w:rPr>
          <w:rFonts w:eastAsia="方正仿宋简体"/>
        </w:rPr>
      </w:pPr>
      <w:r>
        <w:rPr>
          <w:rFonts w:hint="eastAsia" w:eastAsia="方正仿宋简体"/>
        </w:rPr>
        <w:t>本标准发起单位：。</w:t>
      </w:r>
    </w:p>
    <w:p w14:paraId="5264CFAA">
      <w:pPr>
        <w:ind w:firstLine="420"/>
        <w:rPr>
          <w:rFonts w:hint="eastAsia" w:eastAsia="方正仿宋简体"/>
          <w:lang w:eastAsia="zh-CN"/>
        </w:rPr>
      </w:pPr>
      <w:r>
        <w:rPr>
          <w:rFonts w:eastAsia="方正仿宋简体"/>
        </w:rPr>
        <w:t>本标准起草单位：</w:t>
      </w:r>
      <w:r>
        <w:rPr>
          <w:rFonts w:hint="eastAsia" w:eastAsia="方正仿宋简体"/>
          <w:lang w:val="en-US" w:eastAsia="zh-CN"/>
        </w:rPr>
        <w:t xml:space="preserve"> </w:t>
      </w:r>
    </w:p>
    <w:p w14:paraId="007F9643">
      <w:pPr>
        <w:ind w:firstLine="420"/>
        <w:rPr>
          <w:rFonts w:eastAsia="方正仿宋简体"/>
        </w:rPr>
      </w:pPr>
      <w:r>
        <w:rPr>
          <w:rFonts w:eastAsia="方正仿宋简体"/>
        </w:rPr>
        <w:t>本标准主要起草人：。</w:t>
      </w:r>
    </w:p>
    <w:p w14:paraId="39B4323A">
      <w:pPr>
        <w:pStyle w:val="15"/>
        <w:overflowPunct w:val="0"/>
        <w:ind w:firstLine="480"/>
        <w:rPr>
          <w:rFonts w:hint="eastAsia" w:ascii="方正仿宋简体" w:hAnsi="方正仿宋简体" w:eastAsia="方正仿宋简体" w:cs="方正仿宋简体"/>
          <w:bCs/>
          <w:sz w:val="24"/>
          <w:szCs w:val="24"/>
          <w:highlight w:val="yellow"/>
        </w:rPr>
      </w:pPr>
    </w:p>
    <w:p w14:paraId="2F88D3D2">
      <w:pPr>
        <w:pStyle w:val="15"/>
        <w:ind w:firstLine="400"/>
        <w:rPr>
          <w:rFonts w:hint="eastAsia" w:eastAsia="方正仿宋简体"/>
          <w:kern w:val="0"/>
          <w:sz w:val="24"/>
          <w:szCs w:val="24"/>
          <w:lang w:val="en-US" w:eastAsia="zh-CN"/>
        </w:rPr>
      </w:pPr>
      <w:bookmarkStart w:id="229" w:name="_GoBack"/>
      <w:bookmarkEnd w:id="229"/>
    </w:p>
    <w:p w14:paraId="4F3EC6BB">
      <w:pPr>
        <w:pStyle w:val="15"/>
        <w:ind w:firstLine="400"/>
        <w:rPr>
          <w:rFonts w:hint="eastAsia" w:eastAsia="宋体"/>
          <w:szCs w:val="21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24"/>
          <w:szCs w:val="24"/>
          <w:lang w:val="en-US" w:eastAsia="zh-CN"/>
        </w:rPr>
        <w:t xml:space="preserve"> </w:t>
      </w:r>
    </w:p>
    <w:p w14:paraId="365ACE00">
      <w:pPr>
        <w:pStyle w:val="15"/>
        <w:ind w:firstLine="400"/>
        <w:rPr>
          <w:szCs w:val="21"/>
        </w:rPr>
      </w:pPr>
    </w:p>
    <w:p w14:paraId="549D9636">
      <w:pPr>
        <w:pStyle w:val="15"/>
        <w:ind w:firstLine="400"/>
        <w:rPr>
          <w:szCs w:val="21"/>
        </w:rPr>
      </w:pPr>
    </w:p>
    <w:p w14:paraId="3C988902">
      <w:pPr>
        <w:pStyle w:val="15"/>
        <w:ind w:firstLine="400"/>
        <w:rPr>
          <w:szCs w:val="21"/>
        </w:rPr>
      </w:pPr>
    </w:p>
    <w:p w14:paraId="42CCE113">
      <w:pPr>
        <w:pStyle w:val="15"/>
        <w:ind w:firstLine="400"/>
        <w:rPr>
          <w:szCs w:val="21"/>
        </w:rPr>
      </w:pPr>
    </w:p>
    <w:p w14:paraId="48E37D74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r>
        <w:rPr>
          <w:szCs w:val="21"/>
        </w:rPr>
        <w:br w:type="page"/>
      </w:r>
      <w:bookmarkStart w:id="35" w:name="_Toc317597303"/>
      <w:bookmarkStart w:id="36" w:name="_Toc311705334"/>
      <w:bookmarkStart w:id="37" w:name="_Toc312058602"/>
      <w:bookmarkStart w:id="38" w:name="_Toc311743864"/>
      <w:bookmarkStart w:id="39" w:name="_Toc311472175"/>
      <w:bookmarkStart w:id="40" w:name="_Toc13337"/>
      <w:bookmarkStart w:id="41" w:name="_Toc10395653"/>
      <w:bookmarkStart w:id="42" w:name="_Toc19214"/>
      <w:bookmarkStart w:id="43" w:name="_Toc27676"/>
      <w:bookmarkStart w:id="44" w:name="_Toc77061343"/>
      <w:bookmarkStart w:id="45" w:name="_Toc9461596"/>
      <w:bookmarkStart w:id="46" w:name="_Toc312058563"/>
      <w:bookmarkStart w:id="47" w:name="_Toc10448171"/>
      <w:bookmarkStart w:id="48" w:name="_Toc4349"/>
      <w:bookmarkStart w:id="49" w:name="_Toc311493693"/>
      <w:bookmarkStart w:id="50" w:name="_Toc311705223"/>
      <w:bookmarkStart w:id="51" w:name="_Toc315966972"/>
      <w:bookmarkStart w:id="52" w:name="_Toc9206518"/>
      <w:bookmarkStart w:id="53" w:name="_Toc4458"/>
      <w:bookmarkStart w:id="54" w:name="_Toc312063236"/>
      <w:bookmarkStart w:id="55" w:name="_Toc17532"/>
      <w:bookmarkStart w:id="56" w:name="_Toc315953585"/>
      <w:bookmarkStart w:id="57" w:name="_Toc315953471"/>
      <w:bookmarkStart w:id="58" w:name="_Toc311745434"/>
      <w:bookmarkStart w:id="59" w:name="_Toc311494302"/>
      <w:bookmarkStart w:id="60" w:name="_Toc10449379"/>
      <w:bookmarkStart w:id="61" w:name="_Toc10449957"/>
      <w:bookmarkStart w:id="62" w:name="_Toc10449822"/>
      <w:bookmarkStart w:id="63" w:name="_Toc9206294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范围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108D38CD">
      <w:pPr>
        <w:pStyle w:val="15"/>
        <w:ind w:firstLine="480"/>
        <w:rPr>
          <w:rFonts w:hint="eastAsia" w:hAnsi="宋体"/>
          <w:sz w:val="24"/>
          <w:szCs w:val="24"/>
        </w:rPr>
      </w:pPr>
      <w:bookmarkStart w:id="64" w:name="_Toc311494303"/>
      <w:bookmarkStart w:id="65" w:name="_Toc311743865"/>
      <w:bookmarkStart w:id="66" w:name="_Toc311472176"/>
      <w:bookmarkStart w:id="67" w:name="_Toc311493694"/>
      <w:bookmarkStart w:id="68" w:name="_Toc311745435"/>
      <w:bookmarkStart w:id="69" w:name="_Toc311705224"/>
      <w:bookmarkStart w:id="70" w:name="_Toc311705335"/>
      <w:r>
        <w:rPr>
          <w:rFonts w:hint="eastAsia" w:hAnsi="宋体"/>
          <w:sz w:val="24"/>
          <w:szCs w:val="24"/>
        </w:rPr>
        <w:t>银行厅堂管理人员为如厅堂主管或大堂经理，是银行营业活动中主要从事客户迎接、业务办理引导、问询解答、产品推介等工作的岗位人员。他们负责监督和管理大堂内的各项业务，确保服务质量与效率，同时还需要管理和指导大堂工作人员，以确保团队能够高效运作。</w:t>
      </w:r>
    </w:p>
    <w:p w14:paraId="5A50A607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本标准规定了银行厅堂管理人员对应的工作领域、工作任务及职业能力。</w:t>
      </w:r>
    </w:p>
    <w:p w14:paraId="62FE410B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本标准适用于银行厅堂管理人员能力培训、考核与评价，相关用人单位的人员聘用、培训与考核可参照使用。高校金融相关专业人才培养方案可参照使用。</w:t>
      </w:r>
    </w:p>
    <w:p w14:paraId="4F122F6B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bookmarkStart w:id="71" w:name="_Toc312063237"/>
      <w:bookmarkStart w:id="72" w:name="_Toc315953586"/>
      <w:bookmarkStart w:id="73" w:name="_Toc315966973"/>
      <w:bookmarkStart w:id="74" w:name="_Toc315953472"/>
      <w:bookmarkStart w:id="75" w:name="_Toc312058564"/>
      <w:bookmarkStart w:id="76" w:name="_Toc77061344"/>
      <w:bookmarkStart w:id="77" w:name="_Toc10395654"/>
      <w:bookmarkStart w:id="78" w:name="_Toc9206519"/>
      <w:bookmarkStart w:id="79" w:name="_Toc10448172"/>
      <w:bookmarkStart w:id="80" w:name="_Toc10449958"/>
      <w:bookmarkStart w:id="81" w:name="_Toc317597304"/>
      <w:bookmarkStart w:id="82" w:name="_Toc312058603"/>
      <w:bookmarkStart w:id="83" w:name="_Toc9206295"/>
      <w:bookmarkStart w:id="84" w:name="_Toc32126"/>
      <w:bookmarkStart w:id="85" w:name="_Toc14348"/>
      <w:bookmarkStart w:id="86" w:name="_Toc5721"/>
      <w:bookmarkStart w:id="87" w:name="_Toc10449380"/>
      <w:bookmarkStart w:id="88" w:name="_Toc23732"/>
      <w:bookmarkStart w:id="89" w:name="_Toc15832"/>
      <w:bookmarkStart w:id="90" w:name="_Toc8885"/>
      <w:bookmarkStart w:id="91" w:name="_Toc9461597"/>
      <w:bookmarkStart w:id="92" w:name="_Toc10449823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规范性引用文件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07B1EF58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下列文件对于本标准的应用是必不可少的。凡是注日期的引用文件，仅注日期的版本适用于本标准。凡是不注日期的引用文件，其最新版本适用于本标准。</w:t>
      </w:r>
    </w:p>
    <w:p w14:paraId="5037C3C8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GB/T 23697-2009 个人理财 理财规划师的要求</w:t>
      </w:r>
    </w:p>
    <w:p w14:paraId="065EAE12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GB/T 32313-2015 商业银行个人理财服务规范</w:t>
      </w:r>
    </w:p>
    <w:p w14:paraId="794896EB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GB/T 41461-2022 自助银行网点服务要求</w:t>
      </w:r>
    </w:p>
    <w:p w14:paraId="70D29FEB">
      <w:pPr>
        <w:pStyle w:val="16"/>
        <w:spacing w:beforeLines="0" w:afterLines="0"/>
        <w:ind w:left="0" w:firstLine="480" w:firstLineChars="200"/>
        <w:outlineLvl w:val="9"/>
        <w:rPr>
          <w:rFonts w:hint="eastAsia" w:ascii="宋体" w:hAnsi="宋体" w:eastAsia="宋体"/>
          <w:sz w:val="24"/>
          <w:szCs w:val="24"/>
        </w:rPr>
      </w:pPr>
      <w:bookmarkStart w:id="93" w:name="_Toc311472177"/>
      <w:bookmarkEnd w:id="93"/>
      <w:bookmarkStart w:id="94" w:name="_Toc315953587"/>
      <w:bookmarkStart w:id="95" w:name="_Toc311705336"/>
      <w:bookmarkStart w:id="96" w:name="_Toc5524"/>
      <w:bookmarkStart w:id="97" w:name="_Toc12269"/>
      <w:bookmarkStart w:id="98" w:name="_Toc17752"/>
      <w:bookmarkStart w:id="99" w:name="_Toc315966974"/>
      <w:bookmarkStart w:id="100" w:name="_Toc312063238"/>
      <w:bookmarkStart w:id="101" w:name="_Toc9206296"/>
      <w:bookmarkStart w:id="102" w:name="_Toc10449381"/>
      <w:bookmarkStart w:id="103" w:name="_Toc24789"/>
      <w:bookmarkStart w:id="104" w:name="_Toc311705225"/>
      <w:bookmarkStart w:id="105" w:name="_Toc10448173"/>
      <w:bookmarkStart w:id="106" w:name="_Toc315953473"/>
      <w:bookmarkStart w:id="107" w:name="_Toc312058565"/>
      <w:bookmarkStart w:id="108" w:name="_Toc311494304"/>
      <w:bookmarkStart w:id="109" w:name="_Toc11640"/>
      <w:bookmarkStart w:id="110" w:name="_Toc10449959"/>
      <w:bookmarkStart w:id="111" w:name="_Toc311493695"/>
      <w:bookmarkStart w:id="112" w:name="_Toc31034"/>
      <w:bookmarkStart w:id="113" w:name="_Toc9461598"/>
      <w:bookmarkStart w:id="114" w:name="_Toc317597305"/>
      <w:bookmarkStart w:id="115" w:name="_Toc312058604"/>
      <w:bookmarkStart w:id="116" w:name="_Toc10395655"/>
      <w:bookmarkStart w:id="117" w:name="_Toc311743866"/>
      <w:bookmarkStart w:id="118" w:name="_Toc77061345"/>
      <w:bookmarkStart w:id="119" w:name="_Toc311745436"/>
      <w:bookmarkStart w:id="120" w:name="_Toc9206520"/>
      <w:bookmarkStart w:id="121" w:name="_Toc10449824"/>
      <w:r>
        <w:rPr>
          <w:rFonts w:hint="eastAsia" w:ascii="宋体" w:hAnsi="宋体" w:eastAsia="宋体"/>
          <w:sz w:val="24"/>
          <w:szCs w:val="24"/>
        </w:rPr>
        <w:t>GB/T 32318-2015 银行营业网点服务评价准则</w:t>
      </w:r>
    </w:p>
    <w:p w14:paraId="5587D9B5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术语和定义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rPr>
          <w:rFonts w:hint="eastAsia"/>
          <w:sz w:val="24"/>
          <w:szCs w:val="24"/>
        </w:rPr>
        <w:t xml:space="preserve"> </w:t>
      </w:r>
    </w:p>
    <w:p w14:paraId="57B7C886">
      <w:pPr>
        <w:pStyle w:val="14"/>
        <w:spacing w:beforeLines="0" w:afterLines="0"/>
        <w:ind w:left="0"/>
        <w:outlineLvl w:val="9"/>
        <w:rPr>
          <w:rFonts w:hint="eastAsia" w:hAnsi="宋体" w:eastAsia="宋体"/>
          <w:bCs/>
          <w:sz w:val="24"/>
          <w:szCs w:val="24"/>
        </w:rPr>
      </w:pPr>
      <w:bookmarkStart w:id="122" w:name="_Toc9206297"/>
      <w:bookmarkStart w:id="123" w:name="_Toc9461599"/>
      <w:bookmarkStart w:id="124" w:name="_Toc9206521"/>
      <w:bookmarkStart w:id="125" w:name="_Toc26928"/>
      <w:bookmarkStart w:id="126" w:name="_Toc18515"/>
      <w:bookmarkStart w:id="127" w:name="_Toc10449825"/>
      <w:bookmarkStart w:id="128" w:name="_Toc10449382"/>
      <w:bookmarkStart w:id="129" w:name="_Toc10448174"/>
      <w:bookmarkStart w:id="130" w:name="_Toc10395656"/>
      <w:bookmarkStart w:id="131" w:name="_Toc10449960"/>
      <w:bookmarkStart w:id="132" w:name="_Hlk177287837"/>
      <w:r>
        <w:rPr>
          <w:sz w:val="24"/>
          <w:szCs w:val="24"/>
        </w:rPr>
        <w:t xml:space="preserve">3.1 </w:t>
      </w:r>
      <w:bookmarkEnd w:id="122"/>
      <w:bookmarkEnd w:id="123"/>
      <w:bookmarkEnd w:id="124"/>
      <w:r>
        <w:rPr>
          <w:sz w:val="24"/>
          <w:szCs w:val="24"/>
        </w:rPr>
        <w:t xml:space="preserve"> </w:t>
      </w:r>
      <w:bookmarkEnd w:id="125"/>
      <w:bookmarkEnd w:id="126"/>
      <w:bookmarkEnd w:id="127"/>
      <w:bookmarkEnd w:id="128"/>
      <w:bookmarkEnd w:id="129"/>
      <w:bookmarkEnd w:id="130"/>
      <w:bookmarkEnd w:id="131"/>
      <w:bookmarkStart w:id="133" w:name="_Toc10449383"/>
      <w:bookmarkStart w:id="134" w:name="_Toc10395657"/>
      <w:bookmarkStart w:id="135" w:name="_Toc10449961"/>
      <w:bookmarkStart w:id="136" w:name="_Toc10448175"/>
      <w:bookmarkStart w:id="137" w:name="_Toc10449826"/>
      <w:r>
        <w:rPr>
          <w:rFonts w:hint="eastAsia" w:hAnsi="黑体"/>
          <w:b/>
          <w:bCs/>
          <w:kern w:val="2"/>
          <w:sz w:val="24"/>
          <w:szCs w:val="24"/>
        </w:rPr>
        <w:t>个人理财业务</w:t>
      </w:r>
      <w:r>
        <w:rPr>
          <w:rFonts w:hint="eastAsia" w:hAnsi="宋体" w:eastAsia="宋体"/>
          <w:b/>
          <w:sz w:val="24"/>
          <w:szCs w:val="24"/>
        </w:rPr>
        <w:t xml:space="preserve"> </w:t>
      </w:r>
      <w:r>
        <w:rPr>
          <w:rFonts w:hAnsi="宋体" w:eastAsia="宋体"/>
          <w:b/>
          <w:sz w:val="24"/>
          <w:szCs w:val="24"/>
        </w:rPr>
        <w:t>personal</w:t>
      </w:r>
      <w:r>
        <w:rPr>
          <w:rFonts w:hint="eastAsia" w:hAnsi="宋体" w:eastAsia="宋体"/>
          <w:b/>
          <w:sz w:val="24"/>
          <w:szCs w:val="24"/>
        </w:rPr>
        <w:t xml:space="preserve"> </w:t>
      </w:r>
      <w:r>
        <w:rPr>
          <w:rFonts w:hAnsi="宋体" w:eastAsia="宋体"/>
          <w:b/>
          <w:sz w:val="24"/>
          <w:szCs w:val="24"/>
        </w:rPr>
        <w:t>financial business</w:t>
      </w:r>
    </w:p>
    <w:p w14:paraId="4094995E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商业银行为个人客户提供的财务分析、财务规划、投资顾问、资产管理等专业化服务活动。</w:t>
      </w:r>
    </w:p>
    <w:p w14:paraId="1FCC7913">
      <w:pPr>
        <w:pStyle w:val="15"/>
        <w:ind w:firstLine="482" w:firstLineChars="0"/>
        <w:rPr>
          <w:rFonts w:hint="eastAsia" w:ascii="黑体" w:hAnsi="黑体" w:eastAsia="黑体"/>
          <w:b/>
          <w:bCs/>
          <w:kern w:val="2"/>
          <w:sz w:val="24"/>
          <w:szCs w:val="24"/>
        </w:rPr>
      </w:pPr>
      <w:r>
        <w:rPr>
          <w:rFonts w:ascii="黑体" w:hAnsi="黑体" w:eastAsia="黑体"/>
          <w:b/>
          <w:bCs/>
          <w:kern w:val="2"/>
          <w:sz w:val="24"/>
          <w:szCs w:val="24"/>
        </w:rPr>
        <w:t>[GB/T 32313-2015，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3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.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2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]</w:t>
      </w:r>
    </w:p>
    <w:p w14:paraId="024DA426">
      <w:pPr>
        <w:pStyle w:val="14"/>
        <w:spacing w:beforeLines="0" w:afterLines="0"/>
        <w:ind w:left="0"/>
        <w:outlineLvl w:val="9"/>
        <w:rPr>
          <w:rFonts w:hint="eastAsia" w:hAnsi="宋体" w:eastAsia="宋体"/>
          <w:bCs/>
          <w:sz w:val="24"/>
          <w:szCs w:val="24"/>
        </w:rPr>
      </w:pPr>
      <w:bookmarkStart w:id="138" w:name="_Toc28853"/>
      <w:bookmarkStart w:id="139" w:name="_Toc1051"/>
      <w:r>
        <w:rPr>
          <w:rFonts w:hint="eastAsia" w:hAnsi="宋体" w:eastAsia="宋体"/>
          <w:bCs/>
          <w:sz w:val="24"/>
          <w:szCs w:val="24"/>
        </w:rPr>
        <w:t>3</w:t>
      </w:r>
      <w:r>
        <w:rPr>
          <w:rFonts w:hAnsi="宋体" w:eastAsia="宋体"/>
          <w:bCs/>
          <w:sz w:val="24"/>
          <w:szCs w:val="24"/>
        </w:rPr>
        <w:t xml:space="preserve">.2  </w:t>
      </w:r>
      <w:bookmarkEnd w:id="133"/>
      <w:bookmarkEnd w:id="134"/>
      <w:bookmarkEnd w:id="135"/>
      <w:bookmarkEnd w:id="136"/>
      <w:bookmarkEnd w:id="137"/>
      <w:bookmarkEnd w:id="138"/>
      <w:bookmarkEnd w:id="139"/>
      <w:r>
        <w:rPr>
          <w:rFonts w:hint="eastAsia" w:hAnsi="黑体"/>
          <w:b/>
          <w:bCs/>
          <w:kern w:val="2"/>
          <w:sz w:val="24"/>
          <w:szCs w:val="24"/>
        </w:rPr>
        <w:t xml:space="preserve">个人理财计划 </w:t>
      </w:r>
      <w:r>
        <w:rPr>
          <w:rFonts w:hAnsi="黑体"/>
          <w:b/>
          <w:bCs/>
          <w:kern w:val="2"/>
          <w:sz w:val="24"/>
          <w:szCs w:val="24"/>
        </w:rPr>
        <w:t>personal financial plan</w:t>
      </w:r>
    </w:p>
    <w:p w14:paraId="779EFBE6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商业银行在对潜在目标客户群分析研究的基础上,针对特定目标客户群开发设计并销售的资金投资和管理计划。</w:t>
      </w:r>
    </w:p>
    <w:p w14:paraId="2932AC4E">
      <w:pPr>
        <w:pStyle w:val="15"/>
        <w:ind w:firstLine="482" w:firstLineChars="0"/>
        <w:rPr>
          <w:rFonts w:hint="eastAsia" w:ascii="黑体" w:hAnsi="黑体" w:eastAsia="黑体"/>
          <w:b/>
          <w:bCs/>
          <w:kern w:val="2"/>
          <w:sz w:val="24"/>
          <w:szCs w:val="24"/>
        </w:rPr>
      </w:pPr>
      <w:r>
        <w:rPr>
          <w:rFonts w:ascii="黑体" w:hAnsi="黑体" w:eastAsia="黑体"/>
          <w:b/>
          <w:bCs/>
          <w:kern w:val="2"/>
          <w:sz w:val="24"/>
          <w:szCs w:val="24"/>
        </w:rPr>
        <w:t>[GB/T 32313-2015，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3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.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5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]</w:t>
      </w:r>
    </w:p>
    <w:p w14:paraId="6C08F0A2">
      <w:pPr>
        <w:pStyle w:val="14"/>
        <w:spacing w:beforeLines="0" w:afterLines="0"/>
        <w:ind w:left="0"/>
        <w:outlineLvl w:val="9"/>
        <w:rPr>
          <w:rFonts w:hint="eastAsia" w:hAnsi="宋体" w:eastAsia="宋体"/>
          <w:bCs/>
          <w:sz w:val="24"/>
          <w:szCs w:val="24"/>
        </w:rPr>
      </w:pPr>
      <w:r>
        <w:rPr>
          <w:rFonts w:hint="eastAsia" w:hAnsi="宋体" w:eastAsia="宋体"/>
          <w:bCs/>
          <w:sz w:val="24"/>
          <w:szCs w:val="24"/>
        </w:rPr>
        <w:t>3</w:t>
      </w:r>
      <w:r>
        <w:rPr>
          <w:rFonts w:hAnsi="宋体" w:eastAsia="宋体"/>
          <w:bCs/>
          <w:sz w:val="24"/>
          <w:szCs w:val="24"/>
        </w:rPr>
        <w:t>.</w:t>
      </w:r>
      <w:r>
        <w:rPr>
          <w:rFonts w:hint="eastAsia" w:hAnsi="宋体" w:eastAsia="宋体"/>
          <w:bCs/>
          <w:sz w:val="24"/>
          <w:szCs w:val="24"/>
        </w:rPr>
        <w:t>3</w:t>
      </w:r>
      <w:r>
        <w:rPr>
          <w:rFonts w:hAnsi="宋体" w:eastAsia="宋体"/>
          <w:bCs/>
          <w:sz w:val="24"/>
          <w:szCs w:val="24"/>
        </w:rPr>
        <w:t xml:space="preserve">  </w:t>
      </w:r>
      <w:r>
        <w:rPr>
          <w:rFonts w:hint="eastAsia" w:hAnsi="黑体"/>
          <w:b/>
          <w:bCs/>
          <w:kern w:val="2"/>
          <w:sz w:val="24"/>
          <w:szCs w:val="24"/>
        </w:rPr>
        <w:t xml:space="preserve">自助银行网点 </w:t>
      </w:r>
      <w:r>
        <w:rPr>
          <w:rFonts w:hAnsi="黑体"/>
          <w:b/>
          <w:bCs/>
          <w:kern w:val="2"/>
          <w:sz w:val="24"/>
          <w:szCs w:val="24"/>
        </w:rPr>
        <w:t>self-service bank branch</w:t>
      </w:r>
    </w:p>
    <w:p w14:paraId="2E046BF7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由银行自助设备、客户活动区和加钞间等组成,供客户自主完成存款、取款、转账、缴费、信息查询等业务,具有独立物理区域的场所。</w:t>
      </w:r>
    </w:p>
    <w:p w14:paraId="7AAEB8F8">
      <w:pPr>
        <w:pStyle w:val="15"/>
        <w:ind w:firstLine="482" w:firstLineChars="0"/>
        <w:rPr>
          <w:rFonts w:hint="eastAsia" w:ascii="黑体" w:hAnsi="黑体" w:eastAsia="黑体"/>
          <w:b/>
          <w:bCs/>
          <w:kern w:val="2"/>
          <w:sz w:val="24"/>
          <w:szCs w:val="24"/>
        </w:rPr>
      </w:pPr>
      <w:r>
        <w:rPr>
          <w:rFonts w:ascii="黑体" w:hAnsi="黑体" w:eastAsia="黑体"/>
          <w:b/>
          <w:bCs/>
          <w:kern w:val="2"/>
          <w:sz w:val="24"/>
          <w:szCs w:val="24"/>
        </w:rPr>
        <w:t>[GB/T 41461-2022，3.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2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]</w:t>
      </w:r>
    </w:p>
    <w:p w14:paraId="1BFB04EC">
      <w:pPr>
        <w:pStyle w:val="14"/>
        <w:spacing w:beforeLines="0" w:afterLines="0"/>
        <w:ind w:left="0"/>
        <w:outlineLvl w:val="9"/>
        <w:rPr>
          <w:rFonts w:hint="eastAsia" w:hAnsi="宋体" w:eastAsia="宋体"/>
          <w:bCs/>
          <w:sz w:val="24"/>
          <w:szCs w:val="24"/>
        </w:rPr>
      </w:pPr>
      <w:r>
        <w:rPr>
          <w:rFonts w:hint="eastAsia" w:hAnsi="宋体" w:eastAsia="宋体"/>
          <w:bCs/>
          <w:sz w:val="24"/>
          <w:szCs w:val="24"/>
        </w:rPr>
        <w:t>3</w:t>
      </w:r>
      <w:r>
        <w:rPr>
          <w:rFonts w:hAnsi="宋体" w:eastAsia="宋体"/>
          <w:bCs/>
          <w:sz w:val="24"/>
          <w:szCs w:val="24"/>
        </w:rPr>
        <w:t>.</w:t>
      </w:r>
      <w:r>
        <w:rPr>
          <w:rFonts w:hint="eastAsia" w:hAnsi="宋体" w:eastAsia="宋体"/>
          <w:bCs/>
          <w:sz w:val="24"/>
          <w:szCs w:val="24"/>
        </w:rPr>
        <w:t>4</w:t>
      </w:r>
      <w:r>
        <w:rPr>
          <w:rFonts w:hAnsi="宋体" w:eastAsia="宋体"/>
          <w:bCs/>
          <w:sz w:val="24"/>
          <w:szCs w:val="24"/>
        </w:rPr>
        <w:t xml:space="preserve">  </w:t>
      </w:r>
      <w:r>
        <w:rPr>
          <w:rFonts w:hint="eastAsia" w:hAnsi="黑体"/>
          <w:b/>
          <w:bCs/>
          <w:kern w:val="2"/>
          <w:sz w:val="24"/>
          <w:szCs w:val="24"/>
        </w:rPr>
        <w:t>销售人员 sales</w:t>
      </w:r>
    </w:p>
    <w:p w14:paraId="3A844C5E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面向个人客户从事商业银行理财产品宣传、推介、销售等相关活动的银行人员。</w:t>
      </w:r>
    </w:p>
    <w:p w14:paraId="0F5441E7">
      <w:pPr>
        <w:pStyle w:val="15"/>
        <w:ind w:firstLine="442"/>
        <w:rPr>
          <w:rFonts w:hint="eastAsia" w:hAnsi="宋体"/>
          <w:sz w:val="24"/>
          <w:szCs w:val="24"/>
        </w:rPr>
      </w:pPr>
      <w:r>
        <w:rPr>
          <w:rFonts w:hint="eastAsia" w:hAnsi="宋体"/>
          <w:b/>
          <w:bCs/>
          <w:sz w:val="22"/>
          <w:szCs w:val="22"/>
        </w:rPr>
        <w:t>注：</w:t>
      </w:r>
      <w:r>
        <w:rPr>
          <w:rFonts w:hint="eastAsia" w:hAnsi="宋体"/>
          <w:sz w:val="22"/>
          <w:szCs w:val="22"/>
        </w:rPr>
        <w:t>销售人员包括为客户提供财务分析,规划或投资建议的业务人员,销售理财计划或投资性产品的业务人员,以及其他与个人理财业务销售和管理活动紧密相关的专业人员。</w:t>
      </w:r>
      <w:r>
        <w:rPr>
          <w:rFonts w:hAnsi="宋体"/>
          <w:sz w:val="24"/>
          <w:szCs w:val="24"/>
        </w:rPr>
        <w:tab/>
      </w:r>
    </w:p>
    <w:p w14:paraId="466E5604">
      <w:pPr>
        <w:pStyle w:val="15"/>
        <w:ind w:firstLine="482" w:firstLineChars="0"/>
        <w:rPr>
          <w:rFonts w:hint="eastAsia" w:ascii="黑体" w:hAnsi="黑体" w:eastAsia="黑体"/>
          <w:b/>
          <w:bCs/>
          <w:kern w:val="2"/>
          <w:sz w:val="24"/>
          <w:szCs w:val="24"/>
        </w:rPr>
      </w:pPr>
      <w:r>
        <w:rPr>
          <w:rFonts w:ascii="黑体" w:hAnsi="黑体" w:eastAsia="黑体"/>
          <w:b/>
          <w:bCs/>
          <w:kern w:val="2"/>
          <w:sz w:val="24"/>
          <w:szCs w:val="24"/>
        </w:rPr>
        <w:t>[GB/T 32313-2015]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，3.6]</w:t>
      </w:r>
    </w:p>
    <w:p w14:paraId="1055CC00">
      <w:pPr>
        <w:pStyle w:val="14"/>
        <w:spacing w:beforeLines="0" w:afterLines="0"/>
        <w:ind w:left="0"/>
        <w:outlineLvl w:val="9"/>
        <w:rPr>
          <w:rFonts w:hint="eastAsia" w:hAnsi="宋体" w:eastAsia="宋体"/>
          <w:bCs/>
          <w:sz w:val="24"/>
          <w:szCs w:val="24"/>
        </w:rPr>
      </w:pPr>
      <w:r>
        <w:rPr>
          <w:rFonts w:hint="eastAsia" w:hAnsi="宋体" w:eastAsia="宋体"/>
          <w:bCs/>
          <w:sz w:val="24"/>
          <w:szCs w:val="24"/>
        </w:rPr>
        <w:t>3</w:t>
      </w:r>
      <w:r>
        <w:rPr>
          <w:rFonts w:hAnsi="宋体" w:eastAsia="宋体"/>
          <w:bCs/>
          <w:sz w:val="24"/>
          <w:szCs w:val="24"/>
        </w:rPr>
        <w:t>.</w:t>
      </w:r>
      <w:r>
        <w:rPr>
          <w:rFonts w:hint="eastAsia" w:hAnsi="宋体" w:eastAsia="宋体"/>
          <w:bCs/>
          <w:sz w:val="24"/>
          <w:szCs w:val="24"/>
        </w:rPr>
        <w:t>5</w:t>
      </w:r>
      <w:r>
        <w:rPr>
          <w:rFonts w:hAnsi="宋体" w:eastAsia="宋体"/>
          <w:bCs/>
          <w:sz w:val="24"/>
          <w:szCs w:val="24"/>
        </w:rPr>
        <w:t xml:space="preserve">  </w:t>
      </w:r>
      <w:r>
        <w:rPr>
          <w:rFonts w:hint="eastAsia" w:hAnsi="黑体"/>
          <w:b/>
          <w:bCs/>
          <w:kern w:val="2"/>
          <w:sz w:val="24"/>
          <w:szCs w:val="24"/>
        </w:rPr>
        <w:t xml:space="preserve">银行自助设备 </w:t>
      </w:r>
      <w:r>
        <w:rPr>
          <w:rFonts w:hAnsi="黑体"/>
          <w:b/>
          <w:bCs/>
          <w:kern w:val="2"/>
          <w:sz w:val="24"/>
          <w:szCs w:val="24"/>
        </w:rPr>
        <w:t>self-service bank device</w:t>
      </w:r>
    </w:p>
    <w:p w14:paraId="467FD146">
      <w:pPr>
        <w:pStyle w:val="15"/>
        <w:ind w:firstLine="48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银行提供给客户自行完成存款、取款、转账、缴费、开户、信息查询等业务的专用设备。</w:t>
      </w:r>
    </w:p>
    <w:p w14:paraId="41BBE230">
      <w:pPr>
        <w:pStyle w:val="15"/>
        <w:ind w:firstLine="482" w:firstLineChars="0"/>
        <w:rPr>
          <w:rFonts w:hint="eastAsia" w:ascii="黑体" w:hAnsi="黑体" w:eastAsia="黑体"/>
          <w:b/>
          <w:bCs/>
          <w:kern w:val="2"/>
          <w:sz w:val="24"/>
          <w:szCs w:val="24"/>
        </w:rPr>
      </w:pPr>
      <w:r>
        <w:rPr>
          <w:rFonts w:ascii="黑体" w:hAnsi="黑体" w:eastAsia="黑体"/>
          <w:b/>
          <w:bCs/>
          <w:kern w:val="2"/>
          <w:sz w:val="24"/>
          <w:szCs w:val="24"/>
        </w:rPr>
        <w:t>[</w:t>
      </w:r>
      <w:r>
        <w:rPr>
          <w:rFonts w:hint="eastAsia" w:ascii="黑体" w:hAnsi="黑体" w:eastAsia="黑体"/>
          <w:b/>
          <w:bCs/>
          <w:kern w:val="2"/>
          <w:sz w:val="24"/>
          <w:szCs w:val="24"/>
        </w:rPr>
        <w:t>GB/T 41461-2022，3.1</w:t>
      </w:r>
      <w:r>
        <w:rPr>
          <w:rFonts w:ascii="黑体" w:hAnsi="黑体" w:eastAsia="黑体"/>
          <w:b/>
          <w:bCs/>
          <w:kern w:val="2"/>
          <w:sz w:val="24"/>
          <w:szCs w:val="24"/>
        </w:rPr>
        <w:t>]</w:t>
      </w:r>
    </w:p>
    <w:bookmarkEnd w:id="132"/>
    <w:p w14:paraId="407F71F7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bookmarkStart w:id="140" w:name="_Toc10449827"/>
      <w:bookmarkStart w:id="141" w:name="_Toc27421"/>
      <w:bookmarkStart w:id="142" w:name="_Toc26709"/>
      <w:bookmarkStart w:id="143" w:name="_Toc3604"/>
      <w:bookmarkStart w:id="144" w:name="_Toc77061346"/>
      <w:bookmarkStart w:id="145" w:name="_Toc10449384"/>
      <w:bookmarkStart w:id="146" w:name="_Toc9206299"/>
      <w:bookmarkStart w:id="147" w:name="_Toc26358"/>
      <w:bookmarkStart w:id="148" w:name="_Toc21708"/>
      <w:bookmarkStart w:id="149" w:name="_Toc18244"/>
      <w:bookmarkStart w:id="150" w:name="_Toc10449962"/>
      <w:bookmarkStart w:id="151" w:name="_Toc9206523"/>
      <w:bookmarkStart w:id="152" w:name="_Toc10448176"/>
      <w:bookmarkStart w:id="153" w:name="_Toc9461601"/>
      <w:bookmarkStart w:id="154" w:name="_Toc10395658"/>
      <w:r>
        <w:rPr>
          <w:rFonts w:hint="eastAsia"/>
          <w:sz w:val="24"/>
          <w:szCs w:val="24"/>
        </w:rPr>
        <w:t xml:space="preserve">4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适用院校专业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7443D510">
      <w:pPr>
        <w:ind w:firstLine="480" w:firstLineChars="200"/>
        <w:rPr>
          <w:rFonts w:hint="eastAsia" w:hAnsi="仿宋"/>
          <w:bCs/>
          <w:sz w:val="24"/>
        </w:rPr>
      </w:pPr>
      <w:bookmarkStart w:id="155" w:name="_Hlk99011586"/>
      <w:bookmarkStart w:id="156" w:name="_Hlk99011592"/>
      <w:bookmarkStart w:id="157" w:name="_Toc10395659"/>
      <w:bookmarkStart w:id="158" w:name="_Toc10449828"/>
      <w:bookmarkStart w:id="159" w:name="_Toc10449963"/>
      <w:bookmarkStart w:id="160" w:name="_Toc10448177"/>
      <w:bookmarkStart w:id="161" w:name="_Toc9206524"/>
      <w:bookmarkStart w:id="162" w:name="_Toc9461602"/>
      <w:bookmarkStart w:id="163" w:name="_Toc10449385"/>
      <w:bookmarkStart w:id="164" w:name="_Toc9206300"/>
      <w:bookmarkStart w:id="165" w:name="_Toc22022"/>
      <w:bookmarkStart w:id="166" w:name="_Toc29709"/>
      <w:bookmarkStart w:id="167" w:name="_Toc17125"/>
      <w:bookmarkStart w:id="168" w:name="_Toc8352"/>
      <w:bookmarkStart w:id="169" w:name="_Toc77061347"/>
      <w:bookmarkStart w:id="170" w:name="_Toc25052"/>
      <w:bookmarkStart w:id="171" w:name="_Toc653"/>
      <w:r>
        <w:rPr>
          <w:rFonts w:hint="eastAsia" w:ascii="宋体" w:hAnsi="宋体" w:cs="Times New Roman"/>
          <w:kern w:val="0"/>
          <w:sz w:val="24"/>
        </w:rPr>
        <w:t>中等职业学校：</w:t>
      </w:r>
      <w:r>
        <w:rPr>
          <w:rFonts w:hint="eastAsia" w:hAnsi="仿宋"/>
          <w:bCs/>
          <w:sz w:val="24"/>
        </w:rPr>
        <w:t>会计事务、金融事务、纳税事务、统计事务、市场营销、电子商务、国际商务、网络营销、客户信息服务、计算机应用、计算机网络技术等专业。</w:t>
      </w:r>
    </w:p>
    <w:p w14:paraId="6951B9D3">
      <w:pPr>
        <w:ind w:firstLine="480" w:firstLineChars="200"/>
        <w:rPr>
          <w:rFonts w:hint="eastAsia" w:ascii="宋体" w:hAnsi="宋体" w:cs="Times New Roman"/>
          <w:kern w:val="0"/>
          <w:sz w:val="24"/>
        </w:rPr>
      </w:pPr>
      <w:r>
        <w:rPr>
          <w:rFonts w:hint="eastAsia" w:ascii="宋体" w:hAnsi="宋体" w:cs="Times New Roman"/>
          <w:kern w:val="0"/>
          <w:sz w:val="24"/>
        </w:rPr>
        <w:t>高等职业学校：</w:t>
      </w:r>
      <w:r>
        <w:rPr>
          <w:rFonts w:hint="eastAsia" w:hAnsi="仿宋"/>
          <w:bCs/>
          <w:sz w:val="24"/>
        </w:rPr>
        <w:t>资产评估与管理、财税大数据应用、金融服务与管理、金融科技应用、保险实务、信用管理、财富管理、证券实务、国际金融、农村金融、大数据与财务管理、大数据与会计、国际经济与贸易、国际商务、工商企业管理、计算机应用技术、人工智能技术应用、区块链技术应用等专业。</w:t>
      </w:r>
    </w:p>
    <w:p w14:paraId="7F52CCF5">
      <w:pPr>
        <w:ind w:firstLine="480" w:firstLineChars="200"/>
        <w:rPr>
          <w:rFonts w:hint="eastAsia" w:hAnsi="仿宋"/>
          <w:bCs/>
          <w:sz w:val="24"/>
        </w:rPr>
      </w:pPr>
      <w:r>
        <w:rPr>
          <w:rFonts w:hint="eastAsia" w:ascii="宋体" w:hAnsi="宋体" w:cs="Times New Roman"/>
          <w:kern w:val="0"/>
          <w:sz w:val="24"/>
        </w:rPr>
        <w:t>应用型本科学校：</w:t>
      </w:r>
      <w:r>
        <w:rPr>
          <w:rFonts w:hint="eastAsia" w:hAnsi="仿宋"/>
          <w:bCs/>
          <w:sz w:val="24"/>
        </w:rPr>
        <w:t>经济学、商务经济学、金融学、金融工程、保险学、投资学、金融数学、信用管理、国际经济与贸易、电子商务、工商管理、市场营销、会计学、财务管理、国际商务等专业。</w:t>
      </w:r>
    </w:p>
    <w:p w14:paraId="268DD621">
      <w:pPr>
        <w:ind w:firstLine="480" w:firstLineChars="200"/>
        <w:rPr>
          <w:rFonts w:hint="eastAsia" w:hAnsi="仿宋"/>
          <w:bCs/>
          <w:sz w:val="24"/>
        </w:rPr>
      </w:pPr>
      <w:r>
        <w:rPr>
          <w:rFonts w:hint="eastAsia" w:hAnsi="仿宋"/>
          <w:bCs/>
          <w:sz w:val="24"/>
        </w:rPr>
        <w:t>高等教育本科学校：</w:t>
      </w:r>
      <w:bookmarkEnd w:id="155"/>
      <w:r>
        <w:rPr>
          <w:rFonts w:hint="eastAsia" w:hAnsi="仿宋"/>
          <w:bCs/>
          <w:sz w:val="24"/>
        </w:rPr>
        <w:t>经济学、商务经济学、金融学、金融工程、保险学、投资学、金融数学、信用管理等专业。</w:t>
      </w:r>
    </w:p>
    <w:bookmarkEnd w:id="156"/>
    <w:p w14:paraId="2A5C8509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面向职业岗位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>
        <w:rPr>
          <w:rFonts w:hint="eastAsia"/>
          <w:sz w:val="24"/>
          <w:szCs w:val="24"/>
        </w:rPr>
        <w:t>（群）</w:t>
      </w:r>
      <w:bookmarkEnd w:id="165"/>
      <w:bookmarkEnd w:id="166"/>
      <w:bookmarkEnd w:id="167"/>
      <w:bookmarkEnd w:id="168"/>
      <w:bookmarkEnd w:id="169"/>
      <w:bookmarkEnd w:id="170"/>
      <w:bookmarkEnd w:id="171"/>
    </w:p>
    <w:p w14:paraId="3A6863F7">
      <w:pPr>
        <w:ind w:firstLine="480" w:firstLineChars="200"/>
        <w:rPr>
          <w:rFonts w:hint="eastAsia" w:hAnsi="仿宋"/>
          <w:bCs/>
          <w:sz w:val="24"/>
        </w:rPr>
      </w:pPr>
      <w:bookmarkStart w:id="172" w:name="_Hlk99011442"/>
      <w:r>
        <w:rPr>
          <w:rFonts w:hint="eastAsia" w:hAnsi="仿宋"/>
          <w:bCs/>
          <w:sz w:val="24"/>
        </w:rPr>
        <w:t>主要面向金融行业，金融、会计、管理、市场营销、经济贸易等领域如商业银行、资产管理公司、公募基金、商业保险公司等从事理财、基金、保险产品综合规划和销售的工作人员（以工作经验5年以下的新员工为主），包括但不局限于产品销售经理、客户经理、产品经理、销售主管、投资分析师、投资经理等。</w:t>
      </w:r>
    </w:p>
    <w:bookmarkEnd w:id="172"/>
    <w:p w14:paraId="51CFCF53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bookmarkStart w:id="173" w:name="_Toc22818"/>
      <w:bookmarkStart w:id="174" w:name="_Toc3290"/>
      <w:bookmarkStart w:id="175" w:name="_Toc10448178"/>
      <w:bookmarkStart w:id="176" w:name="_Toc10449829"/>
      <w:bookmarkStart w:id="177" w:name="_Toc77061348"/>
      <w:bookmarkStart w:id="178" w:name="_Toc10449964"/>
      <w:bookmarkStart w:id="179" w:name="_Toc9206301"/>
      <w:bookmarkStart w:id="180" w:name="_Toc10395660"/>
      <w:bookmarkStart w:id="181" w:name="_Toc4814"/>
      <w:bookmarkStart w:id="182" w:name="_Toc9461603"/>
      <w:bookmarkStart w:id="183" w:name="_Toc30604"/>
      <w:bookmarkStart w:id="184" w:name="_Toc10449386"/>
      <w:bookmarkStart w:id="185" w:name="_Toc21087"/>
      <w:bookmarkStart w:id="186" w:name="_Toc9206525"/>
      <w:bookmarkStart w:id="187" w:name="_Toc24876"/>
      <w:r>
        <w:rPr>
          <w:rFonts w:hint="eastAsia"/>
          <w:sz w:val="24"/>
          <w:szCs w:val="24"/>
        </w:rPr>
        <w:t xml:space="preserve">6  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r>
        <w:rPr>
          <w:rFonts w:hint="eastAsia"/>
          <w:sz w:val="24"/>
          <w:szCs w:val="24"/>
        </w:rPr>
        <w:t>职业能力要求</w:t>
      </w:r>
    </w:p>
    <w:p w14:paraId="2C517FC4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bookmarkStart w:id="188" w:name="_Toc9206302"/>
      <w:bookmarkStart w:id="189" w:name="_Toc10448179"/>
      <w:bookmarkStart w:id="190" w:name="_Toc4629"/>
      <w:bookmarkStart w:id="191" w:name="_Toc25034"/>
      <w:bookmarkStart w:id="192" w:name="_Toc10449830"/>
      <w:bookmarkStart w:id="193" w:name="_Toc9027"/>
      <w:bookmarkStart w:id="194" w:name="_Toc10449965"/>
      <w:bookmarkStart w:id="195" w:name="_Toc9206526"/>
      <w:bookmarkStart w:id="196" w:name="_Toc77061349"/>
      <w:bookmarkStart w:id="197" w:name="_Toc10449387"/>
      <w:bookmarkStart w:id="198" w:name="_Toc10395661"/>
      <w:bookmarkStart w:id="199" w:name="_Toc11633"/>
      <w:bookmarkStart w:id="200" w:name="_Toc9461604"/>
      <w:r>
        <w:rPr>
          <w:rFonts w:hint="eastAsia"/>
          <w:sz w:val="24"/>
          <w:szCs w:val="24"/>
        </w:rPr>
        <w:t>6.1  职业能力等级划分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4D9F4929">
      <w:pPr>
        <w:pStyle w:val="15"/>
        <w:ind w:firstLine="480"/>
        <w:rPr>
          <w:rFonts w:ascii="Times New Roman"/>
          <w:sz w:val="24"/>
          <w:szCs w:val="24"/>
        </w:rPr>
      </w:pPr>
      <w:bookmarkStart w:id="201" w:name="_Hlk177281473"/>
      <w:bookmarkStart w:id="202" w:name="_Toc9206527"/>
      <w:bookmarkStart w:id="203" w:name="_Toc9206303"/>
      <w:bookmarkStart w:id="204" w:name="_Toc9461605"/>
      <w:r>
        <w:rPr>
          <w:rFonts w:hint="eastAsia" w:hAnsi="宋体"/>
          <w:bCs/>
          <w:sz w:val="24"/>
          <w:szCs w:val="24"/>
        </w:rPr>
        <w:t>银行厅堂管理人员</w:t>
      </w:r>
      <w:r>
        <w:rPr>
          <w:rFonts w:hint="eastAsia" w:ascii="Times New Roman"/>
          <w:sz w:val="24"/>
          <w:szCs w:val="24"/>
        </w:rPr>
        <w:t>职业能力要求</w:t>
      </w:r>
      <w:bookmarkEnd w:id="201"/>
      <w:r>
        <w:rPr>
          <w:rFonts w:hint="eastAsia" w:ascii="Times New Roman"/>
          <w:sz w:val="24"/>
          <w:szCs w:val="24"/>
        </w:rPr>
        <w:t>分为三个等级：初级、中级、高级</w:t>
      </w:r>
      <w:bookmarkEnd w:id="202"/>
      <w:bookmarkEnd w:id="203"/>
      <w:bookmarkEnd w:id="204"/>
      <w:r>
        <w:rPr>
          <w:rFonts w:hint="eastAsia" w:ascii="Times New Roman"/>
          <w:sz w:val="24"/>
          <w:szCs w:val="24"/>
        </w:rPr>
        <w:t>，三个级别依次递进，高级别涵盖低级别职业能力要求。</w:t>
      </w:r>
    </w:p>
    <w:p w14:paraId="72C68441">
      <w:pPr>
        <w:ind w:firstLine="480" w:firstLineChars="200"/>
        <w:jc w:val="left"/>
        <w:rPr>
          <w:rFonts w:ascii="Times New Roman" w:hAnsi="Times New Roman" w:eastAsia="仿宋_GB2312" w:cs="Times New Roman"/>
          <w:sz w:val="24"/>
        </w:rPr>
      </w:pPr>
      <w:r>
        <w:rPr>
          <w:rFonts w:hint="eastAsia" w:ascii="Times New Roman" w:hAnsi="Times New Roman" w:eastAsia="仿宋_GB2312" w:cs="Times New Roman"/>
          <w:sz w:val="24"/>
        </w:rPr>
        <w:t>【银行厅堂管理人员】（初级）：学习和了解银行厅堂管理人员相关技能，包括客户接待能力，初级业务操作，基础沟通技巧，服务态度良好。</w:t>
      </w:r>
    </w:p>
    <w:p w14:paraId="44CCB410">
      <w:pPr>
        <w:ind w:firstLine="480" w:firstLineChars="200"/>
        <w:jc w:val="left"/>
        <w:rPr>
          <w:rFonts w:ascii="Times New Roman" w:hAnsi="Times New Roman" w:eastAsia="仿宋_GB2312" w:cs="Times New Roman"/>
          <w:sz w:val="24"/>
        </w:rPr>
      </w:pPr>
      <w:r>
        <w:rPr>
          <w:rFonts w:hint="eastAsia" w:ascii="Times New Roman" w:hAnsi="Times New Roman" w:eastAsia="仿宋_GB2312" w:cs="Times New Roman"/>
          <w:sz w:val="24"/>
        </w:rPr>
        <w:t>【银行厅堂管理人员】（中级）：掌握</w:t>
      </w:r>
      <w:bookmarkStart w:id="205" w:name="OLE_LINK3"/>
      <w:r>
        <w:rPr>
          <w:rFonts w:hint="eastAsia" w:ascii="Times New Roman" w:hAnsi="Times New Roman" w:eastAsia="仿宋_GB2312" w:cs="Times New Roman"/>
          <w:sz w:val="24"/>
        </w:rPr>
        <w:t>厅堂管理人员相关技能</w:t>
      </w:r>
      <w:bookmarkEnd w:id="205"/>
      <w:r>
        <w:rPr>
          <w:rFonts w:hint="eastAsia" w:ascii="Times New Roman" w:hAnsi="Times New Roman" w:eastAsia="仿宋_GB2312" w:cs="Times New Roman"/>
          <w:sz w:val="24"/>
        </w:rPr>
        <w:t>，包括银行客户服务能力，中级业务知识，具备风险防范能力，具备管理能力。</w:t>
      </w:r>
    </w:p>
    <w:p w14:paraId="7C24ACCA">
      <w:pPr>
        <w:ind w:firstLine="480" w:firstLineChars="200"/>
        <w:jc w:val="left"/>
        <w:rPr>
          <w:rFonts w:ascii="Times New Roman" w:hAnsi="Times New Roman" w:eastAsia="仿宋_GB2312" w:cs="Times New Roman"/>
          <w:sz w:val="24"/>
        </w:rPr>
      </w:pPr>
      <w:r>
        <w:rPr>
          <w:rFonts w:hint="eastAsia" w:ascii="Times New Roman" w:hAnsi="Times New Roman" w:eastAsia="仿宋_GB2312" w:cs="Times New Roman"/>
          <w:sz w:val="24"/>
        </w:rPr>
        <w:t>【银行厅堂管理人员】（高级）：</w:t>
      </w:r>
      <w:bookmarkStart w:id="206" w:name="_Toc9206528"/>
      <w:bookmarkStart w:id="207" w:name="_Toc9206304"/>
      <w:bookmarkStart w:id="208" w:name="_Toc9461606"/>
      <w:r>
        <w:rPr>
          <w:rFonts w:hint="eastAsia" w:ascii="Times New Roman" w:hAnsi="Times New Roman" w:eastAsia="仿宋_GB2312" w:cs="Times New Roman"/>
          <w:sz w:val="24"/>
        </w:rPr>
        <w:t>贯通厅堂管理人员相关技能，包括具备综合管理能力，熟练掌握客户关系管理，具备业务创新能力，具备风险管理能力，数量掌握绩效评估和培训。</w:t>
      </w:r>
    </w:p>
    <w:p w14:paraId="2605BF90">
      <w:pPr>
        <w:pStyle w:val="16"/>
        <w:spacing w:beforeLines="0" w:afterLines="0"/>
        <w:ind w:left="0"/>
        <w:outlineLvl w:val="9"/>
        <w:rPr>
          <w:sz w:val="24"/>
          <w:szCs w:val="24"/>
        </w:rPr>
      </w:pPr>
      <w:bookmarkStart w:id="209" w:name="_Toc22050"/>
      <w:bookmarkStart w:id="210" w:name="_Toc77061350"/>
      <w:bookmarkStart w:id="211" w:name="_Toc31603"/>
      <w:bookmarkStart w:id="212" w:name="_Toc16132"/>
      <w:bookmarkStart w:id="213" w:name="_Toc5731"/>
      <w:r>
        <w:rPr>
          <w:rFonts w:hint="eastAsia"/>
          <w:sz w:val="24"/>
          <w:szCs w:val="24"/>
        </w:rPr>
        <w:t>6.2  职业能力等级要求描述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4592CCA8">
      <w:pPr>
        <w:snapToGrid w:val="0"/>
        <w:spacing w:line="600" w:lineRule="exact"/>
        <w:jc w:val="center"/>
        <w:rPr>
          <w:rFonts w:hint="eastAsia" w:ascii="宋体" w:hAnsi="宋体"/>
          <w:sz w:val="24"/>
        </w:rPr>
      </w:pPr>
      <w:bookmarkStart w:id="214" w:name="_Hlk177287213"/>
      <w:bookmarkStart w:id="215" w:name="_Toc10449831"/>
      <w:bookmarkStart w:id="216" w:name="_Toc10449966"/>
      <w:bookmarkStart w:id="217" w:name="_Toc9206529"/>
      <w:bookmarkStart w:id="218" w:name="_Toc10448180"/>
      <w:bookmarkStart w:id="219" w:name="_Toc9461607"/>
      <w:bookmarkStart w:id="220" w:name="_Toc10395662"/>
      <w:bookmarkStart w:id="221" w:name="_Toc10449388"/>
      <w:bookmarkStart w:id="222" w:name="_Toc9206305"/>
      <w:r>
        <w:rPr>
          <w:rFonts w:hint="eastAsia" w:ascii="黑体" w:hAnsi="黑体" w:eastAsia="黑体"/>
          <w:sz w:val="24"/>
        </w:rPr>
        <w:t>表1 银行厅堂管理人员职业能力要求（初级）</w:t>
      </w: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3900"/>
        <w:gridCol w:w="3946"/>
      </w:tblGrid>
      <w:tr w14:paraId="120DB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9FA42"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2919C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职业能力要求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9137F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相关知识要求</w:t>
            </w:r>
          </w:p>
        </w:tc>
      </w:tr>
      <w:tr w14:paraId="31359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5974B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9D3F7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职业道德认知：学习和遵守服务行业的基本职业道德规范，展现出良好的职业操守。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57BA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职业道德与操守、客户服务与管理、团队合作与沟通、责任心与职业道德，及职业素养与领导力提升相关知识要求。</w:t>
            </w:r>
          </w:p>
        </w:tc>
      </w:tr>
      <w:tr w14:paraId="05A7D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C349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A7A32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客户服务意识：具备初步的客户服务意识，能够友善、耐心地对待每一位客户，尽力满足客户需求。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4FE950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6FCCE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5F34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29CD8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团队合作精神：能够与同事和睦相处，积极参与团队合作，共同完成工作任务。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57F13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6111B3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5471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54C18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1.4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责任心与敬业精神：对自己的工作负责，对待工作认真负责，不推卸责任，具有敬业精神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650F8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4401B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0EEBA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客户接待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34F08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学习和了解基本的接待礼仪，能够热情、礼貌地接待客户。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BAA5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商务礼仪、银行学基础、客户服务管理，以及客户关系管理深度策略知识要求。</w:t>
            </w:r>
          </w:p>
        </w:tc>
      </w:tr>
      <w:tr w14:paraId="1E0FF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24D01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09857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了解银行基础业务知识，能够回答客户的一般性咨询问题。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AF1171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010AE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045B9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业务操作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FA911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学习操作银行常用的业务系统和设备，完成基本业务办理。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5C95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银行业务操作实务、金融信息技术、会计基础与实务，以及金融系统设计与优化、高级金融管理知识要求。</w:t>
            </w:r>
          </w:p>
        </w:tc>
      </w:tr>
      <w:tr w14:paraId="75775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1CD6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26E38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学习和了解现金处理、票据核对等基础业务操作技能。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6B325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4FB016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C8663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沟通技巧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C8093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具备良好的沟通能力，能够清晰、准确地传达信息。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D3D9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沟通技巧、银行产品与服务营销、金融学基础，以及市场营销策略、金融产品创新与推广知识要求。</w:t>
            </w:r>
          </w:p>
        </w:tc>
      </w:tr>
      <w:tr w14:paraId="0CD81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5C89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D714C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了解银行产品和服务，能够简单介绍和推荐给客户。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C8030A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11260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49DED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服务态度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B81D7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具备良好的服务意识，能够耐心、友好地对待客户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0C86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客户服务管理、消费者行为学、冲突与谈判技巧，以及客户关系管理、服务营销与策略优化知识要求。</w:t>
            </w:r>
          </w:p>
        </w:tc>
      </w:tr>
      <w:tr w14:paraId="1A301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6429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52A41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能够处理简单的客户投诉和问题，维护良好的客户关系。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112D2D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</w:tbl>
    <w:p w14:paraId="2A3BB67E">
      <w:pPr>
        <w:snapToGrid w:val="0"/>
        <w:spacing w:line="600" w:lineRule="exact"/>
        <w:jc w:val="center"/>
        <w:rPr>
          <w:rFonts w:hint="eastAsia" w:ascii="黑体" w:hAnsi="黑体" w:eastAsia="黑体"/>
          <w:sz w:val="24"/>
        </w:rPr>
      </w:pPr>
    </w:p>
    <w:p w14:paraId="4FD4C4C8">
      <w:pPr>
        <w:snapToGrid w:val="0"/>
        <w:spacing w:line="600" w:lineRule="exact"/>
        <w:jc w:val="center"/>
        <w:rPr>
          <w:rFonts w:hint="eastAsia" w:ascii="宋体" w:hAnsi="宋体"/>
          <w:sz w:val="24"/>
        </w:rPr>
      </w:pPr>
      <w:r>
        <w:rPr>
          <w:rFonts w:hint="eastAsia" w:ascii="黑体" w:hAnsi="黑体" w:eastAsia="黑体"/>
          <w:sz w:val="24"/>
        </w:rPr>
        <w:t>表</w:t>
      </w:r>
      <w:r>
        <w:rPr>
          <w:rFonts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 xml:space="preserve"> 银行厅堂管理人员职业能力要求（中级）</w:t>
      </w: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4015"/>
        <w:gridCol w:w="3842"/>
      </w:tblGrid>
      <w:tr w14:paraId="3F7F2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85540"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B1D0A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职业能力要求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5E996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相关知识要求</w:t>
            </w:r>
          </w:p>
        </w:tc>
      </w:tr>
      <w:tr w14:paraId="313C9F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EFE92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8D319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掌握职业道德理解：在初级基础上，进一步加深对职业道德规范的理解，能够在工作中践行并传播职业道德。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7386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职业道德与领导力、问题解决与决策制定、组织行为学，高级管理学、持续教育与职业发展策略、危机管理知识要求。</w:t>
            </w:r>
          </w:p>
        </w:tc>
      </w:tr>
      <w:tr w14:paraId="15A94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99C1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686EF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领导力培养：具备一定的团队领导能力，能够激励团队成员，带领团队共同完成目标。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93517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7914CB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8F6D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2B375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问题解决能力：面对客户问题或投诉时，能够冷静分析，快速找到解决问题的方案，并妥善处理。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3B541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5E5D4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AC20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210CF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1.4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持续学习意识：具备持续学习的意识，能够主动学习新知识、新技能，不断提升自己的职业素养。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6CBAA9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1FB2E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6F62D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EFAD6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掌握客户服务能力，能够处理复杂的客户需求和问题。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9991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客户服务管理、消费者行为分析、市场营销，以及客户关系管理、服务设计与创新、数据分析与决策支持知识要求。</w:t>
            </w:r>
          </w:p>
        </w:tc>
      </w:tr>
      <w:tr w14:paraId="42C69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58F71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CC4C4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掌握分析客户需求，提供针对性的业务咨询和服务。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E553A4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20E56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F1093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业务知识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BC014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掌握银行主要产品和服务的专业知识，能够为客户提供详细的介绍和推荐。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48F9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银行产品与服务、银行业务操作、金融市场与机构，以及金融产品设计与管理、高级银行业务与风险管理知识要求。</w:t>
            </w:r>
          </w:p>
        </w:tc>
      </w:tr>
      <w:tr w14:paraId="4F8C5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029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68760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掌握银行各类业务流程，能够指导和协助客户完成复杂业务办理。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2452E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2F83A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79844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风险防范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94862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具备一定的风险识别和防范能力，能够识别和处理业务中的潜在风险。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AD61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风险管理、银行合规与法规、金融安全与风险控制，及高级风险管理、金融法规与合规管理知识要求。</w:t>
            </w:r>
          </w:p>
        </w:tc>
      </w:tr>
      <w:tr w14:paraId="6CC154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9903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E0DD4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掌握银行合规要求，能够在业务办理中遵循相关规定和流程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55704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27972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5EF0D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管理能力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096DE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具备初步的团队管理能力，能够协助大堂经理进行团队协调和工作安排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8B7F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组织学、团队管理、培训与发展，以及领导力发展、人力资源管理、压力管理与心理调适知识要求。</w:t>
            </w:r>
          </w:p>
        </w:tc>
      </w:tr>
      <w:tr w14:paraId="45251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A41A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4C03E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能够培训和指导新员工，提升团队整体服务水平。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1EFBCA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24A626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348D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E4DF3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较强抗压能力：能够应对较大工作压力，保持工作稳定性。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31480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</w:tbl>
    <w:p w14:paraId="23225CE2">
      <w:pPr>
        <w:snapToGrid w:val="0"/>
        <w:spacing w:line="600" w:lineRule="exact"/>
        <w:rPr>
          <w:rFonts w:hint="eastAsia" w:ascii="黑体" w:hAnsi="黑体" w:eastAsia="黑体"/>
          <w:sz w:val="24"/>
        </w:rPr>
      </w:pPr>
    </w:p>
    <w:p w14:paraId="785206CA">
      <w:pPr>
        <w:snapToGrid w:val="0"/>
        <w:spacing w:line="600" w:lineRule="exact"/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表</w:t>
      </w:r>
      <w:r>
        <w:rPr>
          <w:rFonts w:ascii="黑体" w:hAnsi="黑体" w:eastAsia="黑体"/>
          <w:sz w:val="24"/>
        </w:rPr>
        <w:t>3</w:t>
      </w:r>
      <w:r>
        <w:rPr>
          <w:rFonts w:hint="eastAsia" w:ascii="黑体" w:hAnsi="黑体" w:eastAsia="黑体"/>
          <w:sz w:val="24"/>
        </w:rPr>
        <w:t xml:space="preserve"> 银行厅堂管理人员职业能力要求（高级）</w:t>
      </w: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4118"/>
        <w:gridCol w:w="3586"/>
      </w:tblGrid>
      <w:tr w14:paraId="5A353A75">
        <w:trPr>
          <w:trHeight w:val="51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B045F"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37119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职业能力要求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6BBF3"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相关知识要求</w:t>
            </w:r>
          </w:p>
        </w:tc>
      </w:tr>
      <w:tr w14:paraId="79A68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08AE5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D5EB6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贯通并严格遵守职业道德：成为职业道德的典范，能够以身作则，带动团队成员共同遵守职业道德规范。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75F0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商业伦理、战略管理、沟通与协调、企业社会责任，及高级管理策略、公共关系与社会责任、领导力与社会影响力知识要求。</w:t>
            </w:r>
          </w:p>
        </w:tc>
      </w:tr>
      <w:tr w14:paraId="3931E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FECB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7D542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熟练掌握战略思维与规划：具备战略思维，能够根据市场趋势和企业发展战略，制定大堂服务的发展规划和策略。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5D1D1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6210F5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D887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9E904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高效沟通与协调能力：具备高效的沟通与协调能力，能够与企业内部各部门及外部合作伙伴建立良好的关系，共同推动业务发展。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ED34D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532A6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C972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08A30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1.4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社会责任感：具备强烈的社会责任感，能够积极参与公益活动，为企业树立良好的社会形象。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32426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22F7B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129CA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综合管理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CEF2C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具备较强的管理和领导能力，能够独立负责银行厅堂的日常管理和运营。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014B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管理学、组织行为学、服务运营管理，以及服务设计与创新、流程管理与优化知识要求。</w:t>
            </w:r>
          </w:p>
        </w:tc>
      </w:tr>
      <w:tr w14:paraId="6C710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1E6B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DC1D8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2.2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熟练掌握制定和实施服务标准和流程，提升整体服务质量和效率。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42458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5F60A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C93F9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客户关系管理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58383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具备优秀的客户关系管理能力，能够建立和维护重要客户关系。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2FA1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客户关系管理、市场营销策略、高级客户关系管理、服务营销与策略、客户数据分析知识要求。</w:t>
            </w:r>
          </w:p>
        </w:tc>
      </w:tr>
      <w:tr w14:paraId="18CDDC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6CCC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8AB5DB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3.2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熟练掌行客户需求分析，制定和实施客户服务策略，提升客户满意度。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46F3194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367AF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74E41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业务创新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1E6A2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具备业务创新能力，能够引入新技术和新方法，提高业务办理效率。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9B89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创新思维与方法、市场分析与机会识别、创新管理、金融产品与服务创新、市场趋势分析知识要求。</w:t>
            </w:r>
          </w:p>
        </w:tc>
      </w:tr>
      <w:tr w14:paraId="73252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4FC6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447D3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4.2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具备较强的识别市场机会能力，推动新产品和服务的推广和应用。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9430E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0AA412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CFC11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风险管理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F0A96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具备高级风险管理能力，能够全面识别、评估和控制业务风险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62AC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风险管理、银行合规与风险控制、金融安全与风险管理、风险管理与保险知识要求。</w:t>
            </w:r>
          </w:p>
        </w:tc>
      </w:tr>
      <w:tr w14:paraId="37CD3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721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E2B16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5.2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熟悉掌握银行各类风险防范措施，能够制定和实施风险管理计划。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87D39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061116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9D592"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绩效评估和培训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333B4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6.1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具备进行团队成员绩效评估的能力，制定绩效改进计划。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36F4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人力资源管理、绩效管理、培训与发展绩效评估与激励知识要求。</w:t>
            </w:r>
          </w:p>
        </w:tc>
      </w:tr>
      <w:tr w14:paraId="29534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A32F7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11FBC">
            <w:pPr>
              <w:widowControl/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 w:val="24"/>
                <w:szCs w:val="24"/>
              </w:rPr>
              <w:t>6.2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具备丰富的培训经验，能够开展各类职业技能培训，提升团队综合素质。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0B1C8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</w:tbl>
    <w:p w14:paraId="042A917E">
      <w:pPr>
        <w:snapToGrid w:val="0"/>
        <w:spacing w:line="600" w:lineRule="exact"/>
        <w:jc w:val="center"/>
        <w:rPr>
          <w:rFonts w:ascii="宋体" w:hAnsi="宋体"/>
          <w:sz w:val="24"/>
        </w:rPr>
      </w:pPr>
    </w:p>
    <w:p w14:paraId="28A3BD06">
      <w:pPr>
        <w:snapToGrid w:val="0"/>
        <w:spacing w:line="600" w:lineRule="exact"/>
        <w:jc w:val="center"/>
        <w:rPr>
          <w:rFonts w:hint="eastAsia" w:ascii="宋体" w:hAnsi="宋体"/>
          <w:sz w:val="24"/>
        </w:rPr>
      </w:pPr>
    </w:p>
    <w:bookmarkEnd w:id="214"/>
    <w:p w14:paraId="3579E54E">
      <w:pPr>
        <w:snapToGrid w:val="0"/>
        <w:spacing w:line="600" w:lineRule="exact"/>
        <w:jc w:val="center"/>
        <w:rPr>
          <w:rFonts w:hint="eastAsia" w:ascii="宋体" w:hAnsi="宋体"/>
          <w:sz w:val="24"/>
        </w:rPr>
      </w:pPr>
      <w:r>
        <w:rPr>
          <w:rFonts w:hint="eastAsia" w:ascii="黑体" w:hAnsi="黑体" w:eastAsia="黑体"/>
          <w:sz w:val="24"/>
        </w:rPr>
        <w:t>表4 权重表</w:t>
      </w:r>
    </w:p>
    <w:tbl>
      <w:tblPr>
        <w:tblStyle w:val="7"/>
        <w:tblW w:w="7483" w:type="dxa"/>
        <w:tblInd w:w="4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3765"/>
        <w:gridCol w:w="3261"/>
      </w:tblGrid>
      <w:tr w14:paraId="17C3A2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4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E448A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bookmarkStart w:id="223" w:name="_Toc26176"/>
            <w:bookmarkStart w:id="224" w:name="_Toc1198"/>
            <w:bookmarkStart w:id="225" w:name="_Toc23363"/>
            <w:bookmarkStart w:id="226" w:name="_Toc30538"/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初级</w:t>
            </w:r>
          </w:p>
        </w:tc>
      </w:tr>
      <w:tr w14:paraId="4C0E8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4A848B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CBA70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D4A6C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权重（%）</w:t>
            </w:r>
          </w:p>
        </w:tc>
      </w:tr>
      <w:tr w14:paraId="6C650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A4540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39712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B6DDB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10%</w:t>
            </w:r>
          </w:p>
        </w:tc>
      </w:tr>
      <w:tr w14:paraId="0629DA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9B768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20439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客户接待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CE94A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15%</w:t>
            </w:r>
          </w:p>
        </w:tc>
      </w:tr>
      <w:tr w14:paraId="3045D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CE32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6293A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业务接待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C82526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15%</w:t>
            </w:r>
          </w:p>
        </w:tc>
      </w:tr>
      <w:tr w14:paraId="65F2A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3146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2252D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业务操作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CFD386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5FEB4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89A80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FF83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沟通技巧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E1865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2E094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3C7E13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BD900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服务态度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4BDA7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0ACF8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4765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BDF792"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14:paraId="1D02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9A2D6"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8CA14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D2F0B"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</w:pPr>
          </w:p>
        </w:tc>
      </w:tr>
      <w:tr w14:paraId="728F0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4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274BAE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中级</w:t>
            </w:r>
          </w:p>
        </w:tc>
      </w:tr>
      <w:tr w14:paraId="45274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1FA5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3D6D37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3A4D6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权重（%）</w:t>
            </w:r>
          </w:p>
        </w:tc>
      </w:tr>
      <w:tr w14:paraId="46C30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013D4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979F4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C58D1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10%</w:t>
            </w:r>
          </w:p>
        </w:tc>
      </w:tr>
      <w:tr w14:paraId="005E8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0BD40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D268F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客户服务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1088D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2DBC3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A685F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6F04F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业务知识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D651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5580B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BAD37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4E8D6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风险防范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3DC8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25%</w:t>
            </w:r>
          </w:p>
        </w:tc>
      </w:tr>
      <w:tr w14:paraId="7FC8F2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7EFAF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6DDB3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管理能力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7FF43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25%</w:t>
            </w:r>
          </w:p>
        </w:tc>
      </w:tr>
      <w:tr w14:paraId="3B661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86B8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42F2B6"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14:paraId="20FBE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DA98A"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DF07F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FF80C"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</w:pPr>
          </w:p>
        </w:tc>
      </w:tr>
      <w:tr w14:paraId="30427F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4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231DF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高级</w:t>
            </w:r>
          </w:p>
        </w:tc>
      </w:tr>
      <w:tr w14:paraId="2C06C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1B7C48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7B838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73080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权重</w:t>
            </w:r>
          </w:p>
        </w:tc>
      </w:tr>
      <w:tr w14:paraId="6D329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F093A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5CB17F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125ACF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10%</w:t>
            </w:r>
          </w:p>
        </w:tc>
      </w:tr>
      <w:tr w14:paraId="30D8C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37FB33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ACBD4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综合管理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E5256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15%</w:t>
            </w:r>
          </w:p>
        </w:tc>
      </w:tr>
      <w:tr w14:paraId="26917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AA796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0104A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客户关系管理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CE532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15%</w:t>
            </w:r>
          </w:p>
        </w:tc>
      </w:tr>
      <w:tr w14:paraId="3A5C5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959BD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8769A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业务创新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EE205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15263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50533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94949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风险管理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14F5C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56497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6C314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ACAC3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绩效评估和培训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7B86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20%</w:t>
            </w:r>
          </w:p>
        </w:tc>
      </w:tr>
      <w:tr w14:paraId="48280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18166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3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EE11A8"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</w:tbl>
    <w:p w14:paraId="04C09302">
      <w:pPr>
        <w:pStyle w:val="15"/>
        <w:spacing w:line="360" w:lineRule="auto"/>
        <w:ind w:firstLine="0" w:firstLineChars="0"/>
        <w:rPr>
          <w:rFonts w:hint="eastAsia" w:ascii="黑体" w:hAnsi="黑体" w:eastAsia="黑体"/>
          <w:sz w:val="32"/>
          <w:szCs w:val="32"/>
        </w:rPr>
      </w:pPr>
    </w:p>
    <w:p w14:paraId="658BFADA">
      <w:pPr>
        <w:pStyle w:val="15"/>
        <w:spacing w:line="360" w:lineRule="auto"/>
        <w:ind w:firstLine="0" w:firstLineChars="0"/>
        <w:rPr>
          <w:rFonts w:ascii="黑体" w:hAnsi="黑体" w:eastAsia="黑体"/>
          <w:sz w:val="32"/>
          <w:szCs w:val="32"/>
        </w:rPr>
      </w:pPr>
    </w:p>
    <w:p w14:paraId="049BA79A">
      <w:pPr>
        <w:pStyle w:val="15"/>
        <w:spacing w:line="360" w:lineRule="auto"/>
        <w:ind w:firstLine="0" w:firstLineChars="0"/>
        <w:rPr>
          <w:rFonts w:ascii="黑体" w:hAnsi="黑体" w:eastAsia="黑体"/>
          <w:sz w:val="32"/>
          <w:szCs w:val="32"/>
        </w:rPr>
      </w:pPr>
    </w:p>
    <w:p w14:paraId="3BEC7EA0">
      <w:pPr>
        <w:pStyle w:val="15"/>
        <w:spacing w:line="360" w:lineRule="auto"/>
        <w:ind w:firstLine="0" w:firstLineChars="0"/>
        <w:rPr>
          <w:rFonts w:ascii="黑体" w:hAnsi="黑体" w:eastAsia="黑体"/>
          <w:sz w:val="32"/>
          <w:szCs w:val="32"/>
        </w:rPr>
      </w:pPr>
    </w:p>
    <w:p w14:paraId="16D007F3">
      <w:pPr>
        <w:pStyle w:val="15"/>
        <w:spacing w:line="360" w:lineRule="auto"/>
        <w:ind w:firstLine="0" w:firstLineChars="0"/>
        <w:rPr>
          <w:rFonts w:ascii="黑体" w:hAnsi="黑体" w:eastAsia="黑体"/>
          <w:sz w:val="32"/>
          <w:szCs w:val="32"/>
        </w:rPr>
      </w:pPr>
    </w:p>
    <w:p w14:paraId="7D850925">
      <w:pPr>
        <w:pStyle w:val="15"/>
        <w:spacing w:line="360" w:lineRule="auto"/>
        <w:ind w:firstLine="0" w:firstLineChars="0"/>
        <w:rPr>
          <w:rFonts w:ascii="黑体" w:hAnsi="黑体" w:eastAsia="黑体"/>
          <w:sz w:val="32"/>
          <w:szCs w:val="32"/>
        </w:rPr>
      </w:pPr>
    </w:p>
    <w:p w14:paraId="2C5B2A2D">
      <w:pPr>
        <w:pStyle w:val="15"/>
        <w:spacing w:line="360" w:lineRule="auto"/>
        <w:ind w:firstLine="0" w:firstLineChars="0"/>
        <w:rPr>
          <w:rFonts w:hint="eastAsia" w:ascii="黑体" w:hAnsi="黑体" w:eastAsia="黑体"/>
          <w:sz w:val="32"/>
          <w:szCs w:val="32"/>
        </w:rPr>
      </w:pPr>
    </w:p>
    <w:p w14:paraId="6AD45E22">
      <w:pPr>
        <w:pStyle w:val="15"/>
        <w:spacing w:line="36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参考文献</w:t>
      </w:r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702C3735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[1] GB/T 1.1-2020标准化工作导则 第1部分：标准化文件的结构和起草规则</w:t>
      </w:r>
    </w:p>
    <w:p w14:paraId="6B4EEC01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[2] GB/T 23697-2009 个人理财 理财规划师的要求</w:t>
      </w:r>
    </w:p>
    <w:p w14:paraId="4DC0D707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[3]</w:t>
      </w:r>
      <w:r>
        <w:rPr>
          <w:rFonts w:hint="eastAsia"/>
        </w:rPr>
        <w:t xml:space="preserve"> </w:t>
      </w:r>
      <w:r>
        <w:rPr>
          <w:rFonts w:hint="eastAsia" w:ascii="Times New Roman" w:hAnsi="等线"/>
          <w:sz w:val="24"/>
          <w:szCs w:val="24"/>
        </w:rPr>
        <w:t>GB/T 32313-2015 商业银行个人理财服务规范</w:t>
      </w:r>
    </w:p>
    <w:p w14:paraId="7A05FA56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[4]</w:t>
      </w:r>
      <w:r>
        <w:rPr>
          <w:rFonts w:hint="eastAsia"/>
        </w:rPr>
        <w:t xml:space="preserve"> </w:t>
      </w:r>
      <w:r>
        <w:rPr>
          <w:rFonts w:hint="eastAsia" w:ascii="Times New Roman" w:hAnsi="等线"/>
          <w:sz w:val="24"/>
          <w:szCs w:val="24"/>
        </w:rPr>
        <w:t>GB/T 41461-2022 自助银行网点服务要求</w:t>
      </w:r>
    </w:p>
    <w:p w14:paraId="5261AA6E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[5] GB/T 32318-2015 银行营业网点服务评价准则</w:t>
      </w:r>
    </w:p>
    <w:p w14:paraId="07D41B1A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[6] 中国证券投资基金业协会 基金从业资格考试统编教材（2020年）</w:t>
      </w:r>
    </w:p>
    <w:p w14:paraId="6F205F74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[7] 国际金融理财协会 国际金融理财师CFP考试参考用书（2020年）</w:t>
      </w:r>
    </w:p>
    <w:p w14:paraId="47FAC905">
      <w:pPr>
        <w:pStyle w:val="15"/>
        <w:spacing w:line="600" w:lineRule="exact"/>
        <w:ind w:firstLine="480"/>
        <w:rPr>
          <w:rFonts w:hint="eastAsia" w:ascii="Times New Roman" w:hAnsi="等线"/>
          <w:sz w:val="24"/>
          <w:szCs w:val="24"/>
        </w:rPr>
      </w:pPr>
      <w:r>
        <w:rPr>
          <w:rFonts w:hint="eastAsia" w:ascii="Times New Roman" w:hAnsi="等线"/>
          <w:sz w:val="24"/>
          <w:szCs w:val="24"/>
        </w:rPr>
        <w:t>[8] 中华人民共和国教育部 职业教育专业目录（2021年）</w:t>
      </w:r>
    </w:p>
    <w:p w14:paraId="7AFEA399">
      <w:pPr>
        <w:rPr>
          <w:rFonts w:hint="eastAsia"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878527-CE10-4841-8E6D-242DD12FCF8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9C01D4-3B8A-449F-B2BA-46AA42A485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16590D-086B-4979-AC7A-B1D83470D1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A6DA7C5-6587-4635-9DE8-604A5AFF4F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034D10B-7DE9-4517-8C90-FE6DC9EE964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B2A318D-D502-48DF-AC67-ADC788E8461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0E7DD62C-DE61-4124-9C70-A477D290663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0D5B9C3-7BCF-4780-A305-1F304BFDB1A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C9C1D77-32FB-43C0-A2CF-6ED7E76AB1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EE6279A-85DD-4B05-B980-CA3EBE4597C5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A52B4350-EAC1-4FFA-9DF7-6FCC6381FFA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6DCC0529-ADEB-4CCC-9352-CDC82097C84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3" w:fontKey="{565C3994-EDBA-4288-B3CA-4F0A98E75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4B72A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8740" cy="228600"/>
              <wp:effectExtent l="0" t="0" r="0" b="254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9CB5E5">
                          <w:pPr>
                            <w:pStyle w:val="5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简体" w:hAnsi="方正仿宋简体" w:eastAsia="方正仿宋简体" w:cs="方正仿宋简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简体" w:hAnsi="方正仿宋简体" w:eastAsia="方正仿宋简体" w:cs="方正仿宋简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简体" w:hAnsi="方正仿宋简体" w:eastAsia="方正仿宋简体" w:cs="方正仿宋简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方正仿宋简体" w:hAnsi="方正仿宋简体" w:eastAsia="方正仿宋简体" w:cs="方正仿宋简体"/>
                              <w:sz w:val="21"/>
                              <w:szCs w:val="21"/>
                            </w:rPr>
                            <w:t>7</w:t>
                          </w:r>
                          <w:r>
                            <w:rPr>
                              <w:rFonts w:hint="eastAsia" w:ascii="方正仿宋简体" w:hAnsi="方正仿宋简体" w:eastAsia="方正仿宋简体" w:cs="方正仿宋简体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8pt;width:6.2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JIHJLRAAAAAwEAAA8AAAAAAAAAAQAgAAAAIgAAAGRycy9kb3ducmV2&#10;LnhtbFBLAQIUABQAAAAIAIdO4kBqx2+1AwIAAPcDAAAOAAAAAAAAAAEAIAAAACA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99CB5E5">
                    <w:pPr>
                      <w:pStyle w:val="5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简体" w:hAnsi="方正仿宋简体" w:eastAsia="方正仿宋简体" w:cs="方正仿宋简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方正仿宋简体" w:hAnsi="方正仿宋简体" w:eastAsia="方正仿宋简体" w:cs="方正仿宋简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简体" w:hAnsi="方正仿宋简体" w:eastAsia="方正仿宋简体" w:cs="方正仿宋简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方正仿宋简体" w:hAnsi="方正仿宋简体" w:eastAsia="方正仿宋简体" w:cs="方正仿宋简体"/>
                        <w:sz w:val="21"/>
                        <w:szCs w:val="21"/>
                      </w:rPr>
                      <w:t>7</w:t>
                    </w:r>
                    <w:r>
                      <w:rPr>
                        <w:rFonts w:hint="eastAsia" w:ascii="方正仿宋简体" w:hAnsi="方正仿宋简体" w:eastAsia="方正仿宋简体" w:cs="方正仿宋简体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1ZGQwZjFlYzg0M2M3NGEyYjNjOWYyZjZmYmQ3NzIifQ=="/>
  </w:docVars>
  <w:rsids>
    <w:rsidRoot w:val="008133B9"/>
    <w:rsid w:val="00004937"/>
    <w:rsid w:val="00013190"/>
    <w:rsid w:val="00021F23"/>
    <w:rsid w:val="000413F2"/>
    <w:rsid w:val="000460B5"/>
    <w:rsid w:val="00077157"/>
    <w:rsid w:val="000839E4"/>
    <w:rsid w:val="00091D68"/>
    <w:rsid w:val="000969B4"/>
    <w:rsid w:val="000A4667"/>
    <w:rsid w:val="000B1D59"/>
    <w:rsid w:val="000C7C89"/>
    <w:rsid w:val="00114072"/>
    <w:rsid w:val="001907F0"/>
    <w:rsid w:val="001A38A3"/>
    <w:rsid w:val="001D0F68"/>
    <w:rsid w:val="001D5871"/>
    <w:rsid w:val="001D6A5A"/>
    <w:rsid w:val="001E400D"/>
    <w:rsid w:val="001F0BD8"/>
    <w:rsid w:val="00237BED"/>
    <w:rsid w:val="00243AA0"/>
    <w:rsid w:val="002538AE"/>
    <w:rsid w:val="002A0C03"/>
    <w:rsid w:val="002E4935"/>
    <w:rsid w:val="002F022C"/>
    <w:rsid w:val="002F334E"/>
    <w:rsid w:val="0030554C"/>
    <w:rsid w:val="003240E3"/>
    <w:rsid w:val="00350AFF"/>
    <w:rsid w:val="00355F7E"/>
    <w:rsid w:val="0036515B"/>
    <w:rsid w:val="00366339"/>
    <w:rsid w:val="00373F97"/>
    <w:rsid w:val="003947EF"/>
    <w:rsid w:val="003A4416"/>
    <w:rsid w:val="003A6318"/>
    <w:rsid w:val="003B56BD"/>
    <w:rsid w:val="003C68D5"/>
    <w:rsid w:val="003D2F66"/>
    <w:rsid w:val="003E2B87"/>
    <w:rsid w:val="003F7673"/>
    <w:rsid w:val="00410A1C"/>
    <w:rsid w:val="00412ABD"/>
    <w:rsid w:val="0043391E"/>
    <w:rsid w:val="00451E09"/>
    <w:rsid w:val="004608D3"/>
    <w:rsid w:val="00461006"/>
    <w:rsid w:val="004C2E53"/>
    <w:rsid w:val="004D38D7"/>
    <w:rsid w:val="004F6700"/>
    <w:rsid w:val="00507D6F"/>
    <w:rsid w:val="005164D3"/>
    <w:rsid w:val="00527081"/>
    <w:rsid w:val="005451BD"/>
    <w:rsid w:val="00560041"/>
    <w:rsid w:val="0059187A"/>
    <w:rsid w:val="00591B41"/>
    <w:rsid w:val="00592411"/>
    <w:rsid w:val="005A0555"/>
    <w:rsid w:val="005A071E"/>
    <w:rsid w:val="005C1394"/>
    <w:rsid w:val="00644A92"/>
    <w:rsid w:val="00653ADA"/>
    <w:rsid w:val="006629DD"/>
    <w:rsid w:val="006731C8"/>
    <w:rsid w:val="00696806"/>
    <w:rsid w:val="00697057"/>
    <w:rsid w:val="006B5261"/>
    <w:rsid w:val="006C4D87"/>
    <w:rsid w:val="00747635"/>
    <w:rsid w:val="00755318"/>
    <w:rsid w:val="00794267"/>
    <w:rsid w:val="00794CB2"/>
    <w:rsid w:val="007D34DB"/>
    <w:rsid w:val="007D6041"/>
    <w:rsid w:val="007D65D8"/>
    <w:rsid w:val="007E19A1"/>
    <w:rsid w:val="00805C06"/>
    <w:rsid w:val="008133B9"/>
    <w:rsid w:val="008537C8"/>
    <w:rsid w:val="00864CE8"/>
    <w:rsid w:val="008C31C5"/>
    <w:rsid w:val="008F5BF2"/>
    <w:rsid w:val="00901CAD"/>
    <w:rsid w:val="009069BF"/>
    <w:rsid w:val="00920CE9"/>
    <w:rsid w:val="00956E9A"/>
    <w:rsid w:val="00961557"/>
    <w:rsid w:val="00966A5A"/>
    <w:rsid w:val="009720CB"/>
    <w:rsid w:val="009958E8"/>
    <w:rsid w:val="00997684"/>
    <w:rsid w:val="009A56F6"/>
    <w:rsid w:val="009F618A"/>
    <w:rsid w:val="00A367AC"/>
    <w:rsid w:val="00A42F72"/>
    <w:rsid w:val="00A550A7"/>
    <w:rsid w:val="00AA0646"/>
    <w:rsid w:val="00AB20FC"/>
    <w:rsid w:val="00AC4625"/>
    <w:rsid w:val="00AF0F63"/>
    <w:rsid w:val="00B13B07"/>
    <w:rsid w:val="00B64CEB"/>
    <w:rsid w:val="00B831C1"/>
    <w:rsid w:val="00B869FE"/>
    <w:rsid w:val="00B879D6"/>
    <w:rsid w:val="00B87A8B"/>
    <w:rsid w:val="00B90441"/>
    <w:rsid w:val="00B94DAD"/>
    <w:rsid w:val="00BC3FCE"/>
    <w:rsid w:val="00BD27CF"/>
    <w:rsid w:val="00BF4074"/>
    <w:rsid w:val="00C32F5B"/>
    <w:rsid w:val="00C40CDD"/>
    <w:rsid w:val="00C45601"/>
    <w:rsid w:val="00C46A02"/>
    <w:rsid w:val="00C477A7"/>
    <w:rsid w:val="00C55FD4"/>
    <w:rsid w:val="00CA2202"/>
    <w:rsid w:val="00CB2649"/>
    <w:rsid w:val="00CE20A5"/>
    <w:rsid w:val="00CE3A07"/>
    <w:rsid w:val="00CF4931"/>
    <w:rsid w:val="00D218E9"/>
    <w:rsid w:val="00D35323"/>
    <w:rsid w:val="00D43F2E"/>
    <w:rsid w:val="00D722D0"/>
    <w:rsid w:val="00DA3EE6"/>
    <w:rsid w:val="00DB2253"/>
    <w:rsid w:val="00DB7417"/>
    <w:rsid w:val="00DD2F09"/>
    <w:rsid w:val="00E04757"/>
    <w:rsid w:val="00E0529A"/>
    <w:rsid w:val="00E10A36"/>
    <w:rsid w:val="00EA0AB8"/>
    <w:rsid w:val="00ED1543"/>
    <w:rsid w:val="00ED2925"/>
    <w:rsid w:val="00ED64BE"/>
    <w:rsid w:val="00EE36A6"/>
    <w:rsid w:val="00F02DCB"/>
    <w:rsid w:val="00F2771D"/>
    <w:rsid w:val="00F33F0A"/>
    <w:rsid w:val="00FA084C"/>
    <w:rsid w:val="00FA4296"/>
    <w:rsid w:val="00FB3F4D"/>
    <w:rsid w:val="00FB6EFC"/>
    <w:rsid w:val="00FD3C7F"/>
    <w:rsid w:val="00FD54A9"/>
    <w:rsid w:val="00FE6317"/>
    <w:rsid w:val="00FF0266"/>
    <w:rsid w:val="00FF3776"/>
    <w:rsid w:val="04361CF6"/>
    <w:rsid w:val="0A3E03DD"/>
    <w:rsid w:val="12160F3D"/>
    <w:rsid w:val="156051A2"/>
    <w:rsid w:val="1DC761A8"/>
    <w:rsid w:val="229425BB"/>
    <w:rsid w:val="2DC7019F"/>
    <w:rsid w:val="329F241C"/>
    <w:rsid w:val="379D4DCD"/>
    <w:rsid w:val="3C1E32AD"/>
    <w:rsid w:val="407F571E"/>
    <w:rsid w:val="423B4C73"/>
    <w:rsid w:val="45AD56DD"/>
    <w:rsid w:val="46ED0418"/>
    <w:rsid w:val="49D952FD"/>
    <w:rsid w:val="523D646E"/>
    <w:rsid w:val="610031EF"/>
    <w:rsid w:val="61B52C5B"/>
    <w:rsid w:val="669E696B"/>
    <w:rsid w:val="6A437286"/>
    <w:rsid w:val="7040144D"/>
    <w:rsid w:val="71D36ECE"/>
    <w:rsid w:val="76911964"/>
    <w:rsid w:val="7A77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line="576" w:lineRule="exact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line="576" w:lineRule="exact"/>
      <w:outlineLvl w:val="1"/>
    </w:pPr>
    <w:rPr>
      <w:rFonts w:ascii="Cambria" w:hAnsi="Cambria" w:eastAsia="楷体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2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paragraph" w:customStyle="1" w:styleId="12">
    <w:name w:val="示例"/>
    <w:next w:val="1"/>
    <w:qFormat/>
    <w:uiPriority w:val="0"/>
    <w:pPr>
      <w:widowControl w:val="0"/>
      <w:ind w:left="2411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3">
    <w:name w:val="其他实施日期"/>
    <w:basedOn w:val="1"/>
    <w:qFormat/>
    <w:uiPriority w:val="0"/>
    <w:pPr>
      <w:framePr w:w="3997" w:h="471" w:hRule="exact" w:vSpace="181" w:wrap="around" w:vAnchor="page" w:hAnchor="page" w:x="7089" w:y="14097" w:anchorLock="1"/>
      <w:widowControl/>
      <w:jc w:val="right"/>
    </w:pPr>
    <w:rPr>
      <w:rFonts w:eastAsia="黑体"/>
      <w:kern w:val="0"/>
      <w:sz w:val="28"/>
      <w:szCs w:val="20"/>
    </w:rPr>
  </w:style>
  <w:style w:type="paragraph" w:customStyle="1" w:styleId="14">
    <w:name w:val="一级条标题"/>
    <w:next w:val="15"/>
    <w:qFormat/>
    <w:uiPriority w:val="0"/>
    <w:pPr>
      <w:spacing w:beforeLines="50" w:afterLines="50"/>
      <w:ind w:left="142"/>
      <w:outlineLvl w:val="2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15">
    <w:name w:val="段"/>
    <w:link w:val="23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lang w:val="en-US" w:eastAsia="zh-CN" w:bidi="ar-SA"/>
    </w:rPr>
  </w:style>
  <w:style w:type="paragraph" w:customStyle="1" w:styleId="16">
    <w:name w:val="章标题"/>
    <w:next w:val="15"/>
    <w:qFormat/>
    <w:uiPriority w:val="0"/>
    <w:pPr>
      <w:spacing w:beforeLines="100" w:afterLines="100"/>
      <w:ind w:left="2411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17">
    <w:name w:val="其他发布部门"/>
    <w:basedOn w:val="1"/>
    <w:qFormat/>
    <w:uiPriority w:val="0"/>
    <w:pPr>
      <w:framePr w:w="7938" w:h="1134" w:hRule="exact" w:hSpace="125" w:vSpace="181" w:wrap="around" w:vAnchor="page" w:hAnchor="page" w:x="2150" w:y="15310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28"/>
      <w:szCs w:val="20"/>
    </w:rPr>
  </w:style>
  <w:style w:type="character" w:customStyle="1" w:styleId="18">
    <w:name w:val="标题 1 字符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9">
    <w:name w:val="标题 2 字符"/>
    <w:link w:val="3"/>
    <w:semiHidden/>
    <w:qFormat/>
    <w:uiPriority w:val="9"/>
    <w:rPr>
      <w:rFonts w:ascii="Cambria" w:hAnsi="Cambria" w:eastAsia="楷体" w:cs="黑体"/>
      <w:b/>
      <w:bCs/>
      <w:sz w:val="32"/>
      <w:szCs w:val="32"/>
    </w:rPr>
  </w:style>
  <w:style w:type="character" w:customStyle="1" w:styleId="20">
    <w:name w:val="页眉 字符"/>
    <w:link w:val="6"/>
    <w:qFormat/>
    <w:uiPriority w:val="99"/>
    <w:rPr>
      <w:sz w:val="18"/>
      <w:szCs w:val="18"/>
    </w:rPr>
  </w:style>
  <w:style w:type="character" w:customStyle="1" w:styleId="21">
    <w:name w:val="页脚 字符"/>
    <w:link w:val="5"/>
    <w:qFormat/>
    <w:uiPriority w:val="99"/>
    <w:rPr>
      <w:sz w:val="18"/>
      <w:szCs w:val="18"/>
    </w:rPr>
  </w:style>
  <w:style w:type="character" w:customStyle="1" w:styleId="22">
    <w:name w:val="批注框文本 字符"/>
    <w:link w:val="4"/>
    <w:semiHidden/>
    <w:qFormat/>
    <w:uiPriority w:val="0"/>
    <w:rPr>
      <w:rFonts w:ascii="Calibri" w:hAnsi="Calibri" w:cs="黑体"/>
      <w:kern w:val="2"/>
      <w:sz w:val="18"/>
      <w:szCs w:val="18"/>
    </w:rPr>
  </w:style>
  <w:style w:type="character" w:customStyle="1" w:styleId="23">
    <w:name w:val="段 Char"/>
    <w:link w:val="15"/>
    <w:qFormat/>
    <w:uiPriority w:val="0"/>
    <w:rPr>
      <w:rFonts w:ascii="宋体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3415</Words>
  <Characters>3703</Characters>
  <Lines>37</Lines>
  <Paragraphs>10</Paragraphs>
  <TotalTime>0</TotalTime>
  <ScaleCrop>false</ScaleCrop>
  <LinksUpToDate>false</LinksUpToDate>
  <CharactersWithSpaces>3775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2024-12-09T08:51:00Z</dcterms:created>
  <dc:creator>喻宙</dc:creator>
  <cp:lastModifiedBy>李阳</cp:lastModifiedBy>
  <dcterms:modified xsi:type="dcterms:W3CDTF">2024-12-23T05:06:57Z</dcterms:modified>
  <dc:title>职业技能等级证书标准修订更新工作方案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331E434776B140B88D6681D265FC94B1_13</vt:lpwstr>
  </property>
</Properties>
</file>