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94D11">
      <w:r>
        <w:rPr>
          <w:rFonts w:ascii="黑体" w:hAnsi="黑体" w:eastAsia="黑体"/>
          <w:sz w:val="52"/>
          <w:szCs w:val="52"/>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31750</wp:posOffset>
                </wp:positionV>
                <wp:extent cx="5295900" cy="8794750"/>
                <wp:effectExtent l="0" t="0" r="19050" b="25400"/>
                <wp:wrapNone/>
                <wp:docPr id="2" name="文本框 4"/>
                <wp:cNvGraphicFramePr/>
                <a:graphic xmlns:a="http://schemas.openxmlformats.org/drawingml/2006/main">
                  <a:graphicData uri="http://schemas.microsoft.com/office/word/2010/wordprocessingShape">
                    <wps:wsp>
                      <wps:cNvSpPr>
                        <a:spLocks noChangeArrowheads="1"/>
                      </wps:cNvSpPr>
                      <wps:spPr bwMode="auto">
                        <a:xfrm>
                          <a:off x="0" y="0"/>
                          <a:ext cx="5295900" cy="8794750"/>
                        </a:xfrm>
                        <a:prstGeom prst="rect">
                          <a:avLst/>
                        </a:prstGeom>
                        <a:solidFill>
                          <a:srgbClr val="FFFFFF"/>
                        </a:solidFill>
                        <a:ln w="6350">
                          <a:solidFill>
                            <a:srgbClr val="000000"/>
                          </a:solidFill>
                          <a:miter lim="200000"/>
                        </a:ln>
                      </wps:spPr>
                      <wps:txbx>
                        <w:txbxContent>
                          <w:p w14:paraId="302B514D"/>
                          <w:p w14:paraId="08DAB8FD"/>
                          <w:p w14:paraId="49F7765C"/>
                          <w:p w14:paraId="358486F5">
                            <w:pPr>
                              <w:pStyle w:val="16"/>
                              <w:spacing w:line="360" w:lineRule="auto"/>
                              <w:ind w:firstLine="0" w:firstLineChars="0"/>
                              <w:jc w:val="distribute"/>
                              <w:rPr>
                                <w:rFonts w:hint="eastAsia" w:ascii="黑体" w:hAnsi="黑体" w:eastAsia="黑体"/>
                                <w:sz w:val="72"/>
                                <w:szCs w:val="72"/>
                              </w:rPr>
                            </w:pPr>
                          </w:p>
                          <w:p w14:paraId="383A2F2F">
                            <w:pPr>
                              <w:pStyle w:val="16"/>
                              <w:spacing w:line="360" w:lineRule="auto"/>
                              <w:ind w:firstLine="0" w:firstLineChars="0"/>
                              <w:jc w:val="distribute"/>
                              <w:rPr>
                                <w:rFonts w:hint="eastAsia" w:ascii="黑体" w:hAnsi="黑体" w:eastAsia="黑体"/>
                                <w:sz w:val="72"/>
                                <w:szCs w:val="72"/>
                              </w:rPr>
                            </w:pPr>
                            <w:r>
                              <w:rPr>
                                <w:rFonts w:hint="eastAsia" w:ascii="黑体" w:hAnsi="黑体" w:eastAsia="黑体"/>
                                <w:sz w:val="72"/>
                                <w:szCs w:val="72"/>
                              </w:rPr>
                              <w:t>团体标准</w:t>
                            </w:r>
                          </w:p>
                          <w:p w14:paraId="2B30F12C">
                            <w:pPr>
                              <w:pStyle w:val="16"/>
                              <w:spacing w:line="360" w:lineRule="auto"/>
                              <w:ind w:firstLine="5740" w:firstLineChars="2050"/>
                              <w:rPr>
                                <w:rFonts w:hint="eastAsia" w:ascii="黑体" w:hAnsi="黑体" w:eastAsia="黑体"/>
                                <w:sz w:val="48"/>
                                <w:szCs w:val="48"/>
                              </w:rPr>
                            </w:pPr>
                            <w:r>
                              <w:rPr>
                                <w:rFonts w:hint="eastAsia" w:ascii="楷体" w:hAnsi="楷体" w:eastAsia="楷体"/>
                                <w:sz w:val="28"/>
                                <w:szCs w:val="28"/>
                              </w:rPr>
                              <w:t xml:space="preserve">T/ZJDB 001-2024 </w:t>
                            </w:r>
                          </w:p>
                          <w:p w14:paraId="0FA0E952">
                            <w:pPr>
                              <w:pStyle w:val="14"/>
                              <w:jc w:val="both"/>
                            </w:pPr>
                            <w:r>
                              <w:rPr>
                                <w:rFonts w:hint="eastAsia"/>
                              </w:rPr>
                              <w:t xml:space="preserve"> </w:t>
                            </w:r>
                          </w:p>
                          <w:p w14:paraId="2B23BB71">
                            <w:pPr>
                              <w:pStyle w:val="14"/>
                              <w:jc w:val="both"/>
                            </w:pPr>
                          </w:p>
                          <w:p w14:paraId="1BB93782">
                            <w:pPr>
                              <w:pStyle w:val="16"/>
                              <w:spacing w:line="360" w:lineRule="auto"/>
                              <w:ind w:firstLine="0" w:firstLineChars="0"/>
                              <w:jc w:val="center"/>
                              <w:rPr>
                                <w:rFonts w:ascii="黑体" w:hAnsi="黑体" w:eastAsia="黑体"/>
                                <w:sz w:val="40"/>
                                <w:szCs w:val="40"/>
                              </w:rPr>
                            </w:pPr>
                            <w:r>
                              <w:rPr>
                                <w:rFonts w:hint="eastAsia" w:ascii="黑体" w:hAnsi="黑体" w:eastAsia="黑体"/>
                                <w:sz w:val="40"/>
                                <w:szCs w:val="40"/>
                              </w:rPr>
                              <w:t>科技金融领域系列标准 第1部分：</w:t>
                            </w:r>
                          </w:p>
                          <w:p w14:paraId="6DE8129D">
                            <w:pPr>
                              <w:pStyle w:val="16"/>
                              <w:spacing w:line="360" w:lineRule="auto"/>
                              <w:ind w:firstLine="0" w:firstLineChars="0"/>
                              <w:jc w:val="center"/>
                              <w:rPr>
                                <w:rFonts w:ascii="黑体" w:hAnsi="黑体" w:eastAsia="黑体"/>
                                <w:sz w:val="40"/>
                                <w:szCs w:val="40"/>
                              </w:rPr>
                            </w:pPr>
                            <w:r>
                              <w:rPr>
                                <w:rFonts w:hint="eastAsia" w:ascii="黑体" w:hAnsi="黑体" w:eastAsia="黑体"/>
                                <w:sz w:val="40"/>
                                <w:szCs w:val="40"/>
                              </w:rPr>
                              <w:t>智能投顾职业能力要求</w:t>
                            </w:r>
                          </w:p>
                          <w:p w14:paraId="0CAC4852">
                            <w:pPr>
                              <w:pStyle w:val="16"/>
                              <w:spacing w:line="360" w:lineRule="auto"/>
                              <w:ind w:firstLine="0" w:firstLineChars="0"/>
                              <w:jc w:val="center"/>
                              <w:rPr>
                                <w:rFonts w:ascii="黑体" w:hAnsi="黑体" w:eastAsia="黑体"/>
                                <w:sz w:val="24"/>
                                <w:szCs w:val="24"/>
                              </w:rPr>
                            </w:pPr>
                            <w:r>
                              <w:rPr>
                                <w:rFonts w:ascii="黑体" w:hAnsi="黑体" w:eastAsia="黑体"/>
                                <w:sz w:val="24"/>
                                <w:szCs w:val="24"/>
                              </w:rPr>
                              <w:t>Series of Standards in the Field of Technology and Finance Part 1:</w:t>
                            </w:r>
                          </w:p>
                          <w:p w14:paraId="485F1A7A">
                            <w:pPr>
                              <w:pStyle w:val="16"/>
                              <w:spacing w:line="360" w:lineRule="auto"/>
                              <w:ind w:firstLine="0" w:firstLineChars="0"/>
                              <w:jc w:val="center"/>
                              <w:rPr>
                                <w:rFonts w:hint="eastAsia" w:ascii="黑体" w:hAnsi="黑体" w:eastAsia="黑体"/>
                                <w:sz w:val="24"/>
                                <w:szCs w:val="24"/>
                              </w:rPr>
                            </w:pPr>
                            <w:r>
                              <w:rPr>
                                <w:rFonts w:ascii="黑体" w:hAnsi="黑体" w:eastAsia="黑体"/>
                                <w:sz w:val="24"/>
                                <w:szCs w:val="24"/>
                              </w:rPr>
                              <w:t>Requirements for Intelligent Investment Advisor</w:t>
                            </w:r>
                          </w:p>
                          <w:p w14:paraId="46D9CB0F">
                            <w:pPr>
                              <w:pStyle w:val="14"/>
                              <w:jc w:val="both"/>
                            </w:pPr>
                          </w:p>
                          <w:p w14:paraId="2C4FD033">
                            <w:pPr>
                              <w:pStyle w:val="14"/>
                              <w:jc w:val="both"/>
                            </w:pPr>
                          </w:p>
                          <w:p w14:paraId="0CF2EE86">
                            <w:pPr>
                              <w:pStyle w:val="14"/>
                              <w:jc w:val="both"/>
                            </w:pPr>
                          </w:p>
                          <w:p w14:paraId="5EB554C8">
                            <w:pPr>
                              <w:pStyle w:val="14"/>
                              <w:jc w:val="both"/>
                            </w:pPr>
                          </w:p>
                          <w:p w14:paraId="6D826F25">
                            <w:pPr>
                              <w:pStyle w:val="14"/>
                              <w:jc w:val="both"/>
                            </w:pPr>
                          </w:p>
                          <w:p w14:paraId="3FEECD43">
                            <w:pPr>
                              <w:pStyle w:val="14"/>
                              <w:jc w:val="both"/>
                            </w:pPr>
                          </w:p>
                          <w:p w14:paraId="47454FB1">
                            <w:pPr>
                              <w:pStyle w:val="14"/>
                              <w:jc w:val="both"/>
                            </w:pPr>
                          </w:p>
                          <w:p w14:paraId="490F16A9">
                            <w:pPr>
                              <w:pStyle w:val="14"/>
                              <w:jc w:val="both"/>
                            </w:pPr>
                          </w:p>
                          <w:p w14:paraId="1C1B74D6">
                            <w:pPr>
                              <w:pStyle w:val="18"/>
                              <w:rPr>
                                <w:rFonts w:hint="default" w:ascii="Times New Roman" w:eastAsia="方正小标宋简体"/>
                                <w:bCs/>
                                <w:spacing w:val="0"/>
                                <w:w w:val="100"/>
                                <w:sz w:val="32"/>
                                <w:szCs w:val="32"/>
                                <w:lang w:val="en-US"/>
                              </w:rPr>
                            </w:pPr>
                            <w:r>
                              <w:rPr>
                                <w:rFonts w:hint="eastAsia"/>
                                <w:lang w:val="en-US" w:eastAsia="zh-CN"/>
                              </w:rPr>
                              <w:t xml:space="preserve">    </w:t>
                            </w:r>
                          </w:p>
                          <w:p w14:paraId="645DF56E">
                            <w:pPr>
                              <w:pStyle w:val="18"/>
                              <w:jc w:val="both"/>
                              <w:rPr>
                                <w:rFonts w:ascii="Times New Roman" w:eastAsia="方正小标宋简体"/>
                                <w:bCs/>
                                <w:spacing w:val="0"/>
                                <w:w w:val="100"/>
                                <w:sz w:val="32"/>
                                <w:szCs w:val="32"/>
                              </w:rPr>
                            </w:pPr>
                          </w:p>
                        </w:txbxContent>
                      </wps:txbx>
                      <wps:bodyPr rot="0" vert="horz" wrap="square" lIns="91440" tIns="45720" rIns="91440" bIns="45720" anchor="t" anchorCtr="0" upright="1">
                        <a:noAutofit/>
                      </wps:bodyPr>
                    </wps:wsp>
                  </a:graphicData>
                </a:graphic>
              </wp:anchor>
            </w:drawing>
          </mc:Choice>
          <mc:Fallback>
            <w:pict>
              <v:rect id="文本框 4" o:spid="_x0000_s1026" o:spt="1" style="position:absolute;left:0pt;margin-left:-1pt;margin-top:2.5pt;height:692.5pt;width:417pt;mso-position-horizontal-relative:margin;z-index:251659264;mso-width-relative:page;mso-height-relative:page;" fillcolor="#FFFFFF" filled="t" stroked="t" coordsize="21600,21600" o:gfxdata="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xsK1rYAAAACQEAAA8AAAAAAAAAAQAgAAAAIgAAAGRycy9k&#10;b3ducmV2LnhtbFBLAQIUABQAAAAIAIdO4kAiRtuCOwIAAH4EAAAOAAAAAAAAAAEAIAAAACcBAABk&#10;cnMvZTJvRG9jLnhtbFBLBQYAAAAABgAGAFkBAADUBQAAAAA=&#10;">
                <v:fill on="t" focussize="0,0"/>
                <v:stroke weight="0.5pt" color="#000000" miterlimit="2" joinstyle="miter"/>
                <v:imagedata o:title=""/>
                <o:lock v:ext="edit" aspectratio="f"/>
                <v:textbox>
                  <w:txbxContent>
                    <w:p w14:paraId="302B514D"/>
                    <w:p w14:paraId="08DAB8FD"/>
                    <w:p w14:paraId="49F7765C"/>
                    <w:p w14:paraId="358486F5">
                      <w:pPr>
                        <w:pStyle w:val="16"/>
                        <w:spacing w:line="360" w:lineRule="auto"/>
                        <w:ind w:firstLine="0" w:firstLineChars="0"/>
                        <w:jc w:val="distribute"/>
                        <w:rPr>
                          <w:rFonts w:hint="eastAsia" w:ascii="黑体" w:hAnsi="黑体" w:eastAsia="黑体"/>
                          <w:sz w:val="72"/>
                          <w:szCs w:val="72"/>
                        </w:rPr>
                      </w:pPr>
                    </w:p>
                    <w:p w14:paraId="383A2F2F">
                      <w:pPr>
                        <w:pStyle w:val="16"/>
                        <w:spacing w:line="360" w:lineRule="auto"/>
                        <w:ind w:firstLine="0" w:firstLineChars="0"/>
                        <w:jc w:val="distribute"/>
                        <w:rPr>
                          <w:rFonts w:hint="eastAsia" w:ascii="黑体" w:hAnsi="黑体" w:eastAsia="黑体"/>
                          <w:sz w:val="72"/>
                          <w:szCs w:val="72"/>
                        </w:rPr>
                      </w:pPr>
                      <w:r>
                        <w:rPr>
                          <w:rFonts w:hint="eastAsia" w:ascii="黑体" w:hAnsi="黑体" w:eastAsia="黑体"/>
                          <w:sz w:val="72"/>
                          <w:szCs w:val="72"/>
                        </w:rPr>
                        <w:t>团体标准</w:t>
                      </w:r>
                    </w:p>
                    <w:p w14:paraId="2B30F12C">
                      <w:pPr>
                        <w:pStyle w:val="16"/>
                        <w:spacing w:line="360" w:lineRule="auto"/>
                        <w:ind w:firstLine="5740" w:firstLineChars="2050"/>
                        <w:rPr>
                          <w:rFonts w:hint="eastAsia" w:ascii="黑体" w:hAnsi="黑体" w:eastAsia="黑体"/>
                          <w:sz w:val="48"/>
                          <w:szCs w:val="48"/>
                        </w:rPr>
                      </w:pPr>
                      <w:r>
                        <w:rPr>
                          <w:rFonts w:hint="eastAsia" w:ascii="楷体" w:hAnsi="楷体" w:eastAsia="楷体"/>
                          <w:sz w:val="28"/>
                          <w:szCs w:val="28"/>
                        </w:rPr>
                        <w:t xml:space="preserve">T/ZJDB 001-2024 </w:t>
                      </w:r>
                    </w:p>
                    <w:p w14:paraId="0FA0E952">
                      <w:pPr>
                        <w:pStyle w:val="14"/>
                        <w:jc w:val="both"/>
                      </w:pPr>
                      <w:r>
                        <w:rPr>
                          <w:rFonts w:hint="eastAsia"/>
                        </w:rPr>
                        <w:t xml:space="preserve"> </w:t>
                      </w:r>
                    </w:p>
                    <w:p w14:paraId="2B23BB71">
                      <w:pPr>
                        <w:pStyle w:val="14"/>
                        <w:jc w:val="both"/>
                      </w:pPr>
                    </w:p>
                    <w:p w14:paraId="1BB93782">
                      <w:pPr>
                        <w:pStyle w:val="16"/>
                        <w:spacing w:line="360" w:lineRule="auto"/>
                        <w:ind w:firstLine="0" w:firstLineChars="0"/>
                        <w:jc w:val="center"/>
                        <w:rPr>
                          <w:rFonts w:ascii="黑体" w:hAnsi="黑体" w:eastAsia="黑体"/>
                          <w:sz w:val="40"/>
                          <w:szCs w:val="40"/>
                        </w:rPr>
                      </w:pPr>
                      <w:r>
                        <w:rPr>
                          <w:rFonts w:hint="eastAsia" w:ascii="黑体" w:hAnsi="黑体" w:eastAsia="黑体"/>
                          <w:sz w:val="40"/>
                          <w:szCs w:val="40"/>
                        </w:rPr>
                        <w:t>科技金融领域系列标准 第1部分：</w:t>
                      </w:r>
                    </w:p>
                    <w:p w14:paraId="6DE8129D">
                      <w:pPr>
                        <w:pStyle w:val="16"/>
                        <w:spacing w:line="360" w:lineRule="auto"/>
                        <w:ind w:firstLine="0" w:firstLineChars="0"/>
                        <w:jc w:val="center"/>
                        <w:rPr>
                          <w:rFonts w:ascii="黑体" w:hAnsi="黑体" w:eastAsia="黑体"/>
                          <w:sz w:val="40"/>
                          <w:szCs w:val="40"/>
                        </w:rPr>
                      </w:pPr>
                      <w:r>
                        <w:rPr>
                          <w:rFonts w:hint="eastAsia" w:ascii="黑体" w:hAnsi="黑体" w:eastAsia="黑体"/>
                          <w:sz w:val="40"/>
                          <w:szCs w:val="40"/>
                        </w:rPr>
                        <w:t>智能投顾职业能力要求</w:t>
                      </w:r>
                    </w:p>
                    <w:p w14:paraId="0CAC4852">
                      <w:pPr>
                        <w:pStyle w:val="16"/>
                        <w:spacing w:line="360" w:lineRule="auto"/>
                        <w:ind w:firstLine="0" w:firstLineChars="0"/>
                        <w:jc w:val="center"/>
                        <w:rPr>
                          <w:rFonts w:ascii="黑体" w:hAnsi="黑体" w:eastAsia="黑体"/>
                          <w:sz w:val="24"/>
                          <w:szCs w:val="24"/>
                        </w:rPr>
                      </w:pPr>
                      <w:r>
                        <w:rPr>
                          <w:rFonts w:ascii="黑体" w:hAnsi="黑体" w:eastAsia="黑体"/>
                          <w:sz w:val="24"/>
                          <w:szCs w:val="24"/>
                        </w:rPr>
                        <w:t>Series of Standards in the Field of Technology and Finance Part 1:</w:t>
                      </w:r>
                    </w:p>
                    <w:p w14:paraId="485F1A7A">
                      <w:pPr>
                        <w:pStyle w:val="16"/>
                        <w:spacing w:line="360" w:lineRule="auto"/>
                        <w:ind w:firstLine="0" w:firstLineChars="0"/>
                        <w:jc w:val="center"/>
                        <w:rPr>
                          <w:rFonts w:hint="eastAsia" w:ascii="黑体" w:hAnsi="黑体" w:eastAsia="黑体"/>
                          <w:sz w:val="24"/>
                          <w:szCs w:val="24"/>
                        </w:rPr>
                      </w:pPr>
                      <w:r>
                        <w:rPr>
                          <w:rFonts w:ascii="黑体" w:hAnsi="黑体" w:eastAsia="黑体"/>
                          <w:sz w:val="24"/>
                          <w:szCs w:val="24"/>
                        </w:rPr>
                        <w:t>Requirements for Intelligent Investment Advisor</w:t>
                      </w:r>
                    </w:p>
                    <w:p w14:paraId="46D9CB0F">
                      <w:pPr>
                        <w:pStyle w:val="14"/>
                        <w:jc w:val="both"/>
                      </w:pPr>
                    </w:p>
                    <w:p w14:paraId="2C4FD033">
                      <w:pPr>
                        <w:pStyle w:val="14"/>
                        <w:jc w:val="both"/>
                      </w:pPr>
                    </w:p>
                    <w:p w14:paraId="0CF2EE86">
                      <w:pPr>
                        <w:pStyle w:val="14"/>
                        <w:jc w:val="both"/>
                      </w:pPr>
                    </w:p>
                    <w:p w14:paraId="5EB554C8">
                      <w:pPr>
                        <w:pStyle w:val="14"/>
                        <w:jc w:val="both"/>
                      </w:pPr>
                    </w:p>
                    <w:p w14:paraId="6D826F25">
                      <w:pPr>
                        <w:pStyle w:val="14"/>
                        <w:jc w:val="both"/>
                      </w:pPr>
                    </w:p>
                    <w:p w14:paraId="3FEECD43">
                      <w:pPr>
                        <w:pStyle w:val="14"/>
                        <w:jc w:val="both"/>
                      </w:pPr>
                    </w:p>
                    <w:p w14:paraId="47454FB1">
                      <w:pPr>
                        <w:pStyle w:val="14"/>
                        <w:jc w:val="both"/>
                      </w:pPr>
                    </w:p>
                    <w:p w14:paraId="490F16A9">
                      <w:pPr>
                        <w:pStyle w:val="14"/>
                        <w:jc w:val="both"/>
                      </w:pPr>
                    </w:p>
                    <w:p w14:paraId="1C1B74D6">
                      <w:pPr>
                        <w:pStyle w:val="18"/>
                        <w:rPr>
                          <w:rFonts w:hint="default" w:ascii="Times New Roman" w:eastAsia="方正小标宋简体"/>
                          <w:bCs/>
                          <w:spacing w:val="0"/>
                          <w:w w:val="100"/>
                          <w:sz w:val="32"/>
                          <w:szCs w:val="32"/>
                          <w:lang w:val="en-US"/>
                        </w:rPr>
                      </w:pPr>
                      <w:r>
                        <w:rPr>
                          <w:rFonts w:hint="eastAsia"/>
                          <w:lang w:val="en-US" w:eastAsia="zh-CN"/>
                        </w:rPr>
                        <w:t xml:space="preserve">    </w:t>
                      </w:r>
                    </w:p>
                    <w:p w14:paraId="645DF56E">
                      <w:pPr>
                        <w:pStyle w:val="18"/>
                        <w:jc w:val="both"/>
                        <w:rPr>
                          <w:rFonts w:ascii="Times New Roman" w:eastAsia="方正小标宋简体"/>
                          <w:bCs/>
                          <w:spacing w:val="0"/>
                          <w:w w:val="100"/>
                          <w:sz w:val="32"/>
                          <w:szCs w:val="32"/>
                        </w:rPr>
                      </w:pPr>
                    </w:p>
                  </w:txbxContent>
                </v:textbox>
              </v:rect>
            </w:pict>
          </mc:Fallback>
        </mc:AlternateContent>
      </w:r>
    </w:p>
    <w:p w14:paraId="074E671C">
      <w:pPr>
        <w:pStyle w:val="16"/>
        <w:spacing w:line="360" w:lineRule="auto"/>
        <w:ind w:firstLine="1040"/>
        <w:jc w:val="center"/>
        <w:rPr>
          <w:rFonts w:hint="eastAsia" w:ascii="黑体" w:hAnsi="黑体" w:eastAsia="黑体"/>
          <w:sz w:val="52"/>
          <w:szCs w:val="52"/>
        </w:rPr>
      </w:pPr>
    </w:p>
    <w:p w14:paraId="65D66028">
      <w:pPr>
        <w:pStyle w:val="16"/>
        <w:spacing w:line="360" w:lineRule="auto"/>
        <w:ind w:firstLine="640"/>
        <w:jc w:val="center"/>
        <w:rPr>
          <w:rFonts w:hint="eastAsia" w:ascii="黑体" w:hAnsi="黑体" w:eastAsia="黑体"/>
          <w:sz w:val="32"/>
          <w:szCs w:val="32"/>
        </w:rPr>
      </w:pPr>
      <w:bookmarkStart w:id="0" w:name="_Toc317597302"/>
    </w:p>
    <w:p w14:paraId="6C33C734">
      <w:pPr>
        <w:pStyle w:val="16"/>
        <w:spacing w:line="360" w:lineRule="auto"/>
        <w:ind w:firstLine="640"/>
        <w:jc w:val="center"/>
        <w:rPr>
          <w:rFonts w:hint="eastAsia" w:ascii="黑体" w:hAnsi="黑体" w:eastAsia="黑体"/>
          <w:sz w:val="32"/>
          <w:szCs w:val="32"/>
        </w:rPr>
      </w:pPr>
    </w:p>
    <w:p w14:paraId="196E0C94">
      <w:pPr>
        <w:pStyle w:val="16"/>
        <w:spacing w:line="360" w:lineRule="auto"/>
        <w:ind w:firstLine="640"/>
        <w:jc w:val="center"/>
        <w:rPr>
          <w:rFonts w:hint="eastAsia" w:ascii="黑体" w:hAnsi="黑体" w:eastAsia="黑体"/>
          <w:sz w:val="32"/>
          <w:szCs w:val="32"/>
        </w:rPr>
      </w:pPr>
    </w:p>
    <w:p w14:paraId="2DE558D1">
      <w:pPr>
        <w:pStyle w:val="16"/>
        <w:spacing w:line="360" w:lineRule="auto"/>
        <w:ind w:firstLine="640"/>
        <w:jc w:val="center"/>
        <w:rPr>
          <w:rFonts w:hint="eastAsia" w:ascii="黑体" w:hAnsi="黑体" w:eastAsia="黑体"/>
          <w:sz w:val="32"/>
          <w:szCs w:val="32"/>
        </w:rPr>
      </w:pPr>
    </w:p>
    <w:p w14:paraId="528D159A">
      <w:pPr>
        <w:pStyle w:val="16"/>
        <w:spacing w:line="360" w:lineRule="auto"/>
        <w:ind w:firstLine="640"/>
        <w:jc w:val="center"/>
        <w:rPr>
          <w:rFonts w:hint="eastAsia" w:ascii="黑体" w:hAnsi="黑体" w:eastAsia="黑体"/>
          <w:sz w:val="32"/>
          <w:szCs w:val="32"/>
        </w:rPr>
      </w:pPr>
    </w:p>
    <w:p w14:paraId="0982A052">
      <w:pPr>
        <w:pStyle w:val="16"/>
        <w:spacing w:line="360" w:lineRule="auto"/>
        <w:ind w:firstLine="640"/>
        <w:jc w:val="center"/>
        <w:rPr>
          <w:rFonts w:hint="eastAsia" w:ascii="黑体" w:hAnsi="黑体" w:eastAsia="黑体"/>
          <w:sz w:val="32"/>
          <w:szCs w:val="32"/>
        </w:rPr>
      </w:pPr>
    </w:p>
    <w:p w14:paraId="734D286D">
      <w:pPr>
        <w:pStyle w:val="16"/>
        <w:spacing w:line="360" w:lineRule="auto"/>
        <w:ind w:firstLine="640"/>
        <w:jc w:val="center"/>
        <w:rPr>
          <w:rFonts w:hint="eastAsia" w:ascii="黑体" w:hAnsi="黑体" w:eastAsia="黑体"/>
          <w:sz w:val="32"/>
          <w:szCs w:val="32"/>
        </w:rPr>
      </w:pPr>
    </w:p>
    <w:p w14:paraId="7214D81A">
      <w:pPr>
        <w:pStyle w:val="16"/>
        <w:spacing w:line="360" w:lineRule="auto"/>
        <w:ind w:firstLine="640"/>
        <w:jc w:val="center"/>
        <w:rPr>
          <w:rFonts w:hint="eastAsia" w:ascii="黑体" w:hAnsi="黑体" w:eastAsia="黑体"/>
          <w:sz w:val="32"/>
          <w:szCs w:val="32"/>
        </w:rPr>
      </w:pPr>
    </w:p>
    <w:p w14:paraId="24B35D0D">
      <w:pPr>
        <w:pStyle w:val="16"/>
        <w:spacing w:line="360" w:lineRule="auto"/>
        <w:ind w:firstLine="640"/>
        <w:jc w:val="center"/>
        <w:rPr>
          <w:rFonts w:hint="eastAsia" w:ascii="黑体" w:hAnsi="黑体" w:eastAsia="黑体"/>
          <w:sz w:val="32"/>
          <w:szCs w:val="32"/>
        </w:rPr>
      </w:pPr>
    </w:p>
    <w:p w14:paraId="10057C17">
      <w:pPr>
        <w:pStyle w:val="16"/>
        <w:spacing w:line="360" w:lineRule="auto"/>
        <w:ind w:firstLine="640"/>
        <w:jc w:val="center"/>
        <w:rPr>
          <w:rFonts w:hint="eastAsia" w:ascii="黑体" w:hAnsi="黑体" w:eastAsia="黑体"/>
          <w:sz w:val="32"/>
          <w:szCs w:val="32"/>
        </w:rPr>
      </w:pPr>
    </w:p>
    <w:p w14:paraId="3D7632F5">
      <w:pPr>
        <w:pStyle w:val="16"/>
        <w:spacing w:line="360" w:lineRule="auto"/>
        <w:ind w:firstLine="640"/>
        <w:jc w:val="center"/>
        <w:rPr>
          <w:rFonts w:hint="eastAsia" w:ascii="黑体" w:hAnsi="黑体" w:eastAsia="黑体"/>
          <w:sz w:val="32"/>
          <w:szCs w:val="32"/>
        </w:rPr>
      </w:pPr>
    </w:p>
    <w:p w14:paraId="7A8DA81C">
      <w:pPr>
        <w:pStyle w:val="16"/>
        <w:spacing w:line="360" w:lineRule="auto"/>
        <w:ind w:firstLine="640"/>
        <w:jc w:val="center"/>
        <w:rPr>
          <w:rFonts w:hint="eastAsia" w:ascii="黑体" w:hAnsi="黑体" w:eastAsia="黑体"/>
          <w:sz w:val="32"/>
          <w:szCs w:val="32"/>
        </w:rPr>
      </w:pPr>
    </w:p>
    <w:p w14:paraId="27772279">
      <w:pPr>
        <w:pStyle w:val="16"/>
        <w:spacing w:line="360" w:lineRule="auto"/>
        <w:ind w:firstLine="640"/>
        <w:jc w:val="center"/>
        <w:rPr>
          <w:rFonts w:hint="eastAsia" w:ascii="黑体" w:hAnsi="黑体" w:eastAsia="黑体"/>
          <w:sz w:val="32"/>
          <w:szCs w:val="32"/>
        </w:rPr>
      </w:pPr>
    </w:p>
    <w:p w14:paraId="20724FCE">
      <w:pPr>
        <w:pStyle w:val="16"/>
        <w:spacing w:line="360" w:lineRule="auto"/>
        <w:ind w:firstLine="640"/>
        <w:jc w:val="center"/>
        <w:rPr>
          <w:rFonts w:hint="eastAsia" w:ascii="黑体" w:hAnsi="黑体" w:eastAsia="黑体"/>
          <w:sz w:val="32"/>
          <w:szCs w:val="32"/>
        </w:rPr>
      </w:pPr>
    </w:p>
    <w:p w14:paraId="5C6C4F20">
      <w:pPr>
        <w:pStyle w:val="16"/>
        <w:spacing w:line="360" w:lineRule="auto"/>
        <w:ind w:firstLine="640"/>
        <w:jc w:val="center"/>
        <w:rPr>
          <w:rFonts w:hint="eastAsia" w:ascii="黑体" w:hAnsi="黑体" w:eastAsia="黑体"/>
          <w:sz w:val="32"/>
          <w:szCs w:val="32"/>
        </w:rPr>
      </w:pPr>
    </w:p>
    <w:p w14:paraId="42246ECB">
      <w:pPr>
        <w:pStyle w:val="16"/>
        <w:spacing w:line="360" w:lineRule="auto"/>
        <w:ind w:firstLine="640"/>
        <w:jc w:val="center"/>
        <w:rPr>
          <w:rFonts w:hint="eastAsia" w:ascii="黑体" w:hAnsi="黑体" w:eastAsia="黑体"/>
          <w:sz w:val="32"/>
          <w:szCs w:val="32"/>
        </w:rPr>
      </w:pPr>
    </w:p>
    <w:p w14:paraId="0ABB385E">
      <w:pPr>
        <w:pStyle w:val="16"/>
        <w:spacing w:line="360" w:lineRule="auto"/>
        <w:ind w:firstLine="0" w:firstLineChars="0"/>
        <w:jc w:val="center"/>
        <w:rPr>
          <w:rFonts w:hint="eastAsia" w:ascii="黑体" w:hAnsi="黑体" w:eastAsia="黑体"/>
          <w:sz w:val="32"/>
          <w:szCs w:val="32"/>
        </w:rPr>
      </w:pPr>
    </w:p>
    <w:p w14:paraId="4B6E20BA">
      <w:pPr>
        <w:pStyle w:val="16"/>
        <w:spacing w:line="360" w:lineRule="auto"/>
        <w:ind w:firstLine="0" w:firstLineChars="0"/>
        <w:jc w:val="center"/>
        <w:rPr>
          <w:rFonts w:hint="eastAsia" w:ascii="黑体" w:hAnsi="黑体" w:eastAsia="黑体"/>
          <w:sz w:val="32"/>
          <w:szCs w:val="32"/>
        </w:rPr>
      </w:pPr>
    </w:p>
    <w:p w14:paraId="2F4C96C3">
      <w:pPr>
        <w:pStyle w:val="16"/>
        <w:spacing w:line="360" w:lineRule="auto"/>
        <w:ind w:firstLine="0" w:firstLineChars="0"/>
        <w:jc w:val="center"/>
        <w:rPr>
          <w:rFonts w:hint="eastAsia" w:ascii="黑体" w:hAnsi="黑体" w:eastAsia="黑体"/>
          <w:sz w:val="32"/>
          <w:szCs w:val="32"/>
        </w:rPr>
        <w:sectPr>
          <w:footerReference r:id="rId3" w:type="default"/>
          <w:pgSz w:w="11906" w:h="16838"/>
          <w:pgMar w:top="1440" w:right="1800" w:bottom="1440" w:left="1800" w:header="851" w:footer="992" w:gutter="0"/>
          <w:pgNumType w:start="1"/>
          <w:cols w:space="720" w:num="1"/>
          <w:docGrid w:type="lines" w:linePitch="312" w:charSpace="0"/>
        </w:sectPr>
      </w:pPr>
      <w:bookmarkStart w:id="1" w:name="_Toc25213"/>
      <w:bookmarkStart w:id="2" w:name="_Toc18963"/>
      <w:bookmarkStart w:id="3" w:name="_Toc2742"/>
      <w:bookmarkStart w:id="4" w:name="_Toc25344"/>
    </w:p>
    <w:p w14:paraId="69331CCF">
      <w:pPr>
        <w:pStyle w:val="16"/>
        <w:spacing w:line="360" w:lineRule="auto"/>
        <w:ind w:firstLine="0" w:firstLineChars="0"/>
        <w:jc w:val="center"/>
        <w:rPr>
          <w:rFonts w:hint="eastAsia" w:ascii="黑体" w:hAnsi="黑体" w:eastAsia="黑体"/>
          <w:sz w:val="32"/>
          <w:szCs w:val="32"/>
        </w:rPr>
      </w:pPr>
      <w:r>
        <w:rPr>
          <w:rFonts w:hint="eastAsia" w:ascii="黑体" w:hAnsi="黑体" w:eastAsia="黑体"/>
          <w:sz w:val="32"/>
          <w:szCs w:val="32"/>
        </w:rPr>
        <w:t>目</w:t>
      </w:r>
      <w:r>
        <w:rPr>
          <w:rFonts w:ascii="黑体" w:hAnsi="黑体" w:eastAsia="黑体"/>
          <w:sz w:val="32"/>
          <w:szCs w:val="32"/>
        </w:rPr>
        <w:t xml:space="preserve">  </w:t>
      </w:r>
      <w:r>
        <w:rPr>
          <w:rFonts w:hint="eastAsia" w:ascii="黑体" w:hAnsi="黑体" w:eastAsia="黑体"/>
          <w:sz w:val="32"/>
          <w:szCs w:val="32"/>
        </w:rPr>
        <w:t>次</w:t>
      </w:r>
      <w:bookmarkEnd w:id="1"/>
      <w:bookmarkEnd w:id="2"/>
      <w:bookmarkEnd w:id="3"/>
      <w:bookmarkEnd w:id="4"/>
    </w:p>
    <w:p w14:paraId="68E5214A">
      <w:pPr>
        <w:pStyle w:val="16"/>
        <w:ind w:firstLine="0" w:firstLineChars="0"/>
        <w:rPr>
          <w:rFonts w:hint="eastAsia" w:hAnsi="宋体"/>
          <w:szCs w:val="21"/>
        </w:rPr>
      </w:pPr>
    </w:p>
    <w:p w14:paraId="393B09E5">
      <w:pPr>
        <w:pStyle w:val="16"/>
        <w:spacing w:line="480" w:lineRule="auto"/>
        <w:ind w:firstLine="0" w:firstLineChars="0"/>
        <w:rPr>
          <w:rFonts w:ascii="Times New Roman" w:eastAsia="方正仿宋简体"/>
          <w:sz w:val="24"/>
          <w:szCs w:val="24"/>
        </w:rPr>
      </w:pPr>
      <w:r>
        <w:rPr>
          <w:rFonts w:ascii="Times New Roman" w:eastAsia="方正仿宋简体"/>
          <w:sz w:val="24"/>
          <w:szCs w:val="24"/>
        </w:rPr>
        <w:t>前言</w:t>
      </w:r>
      <w:r>
        <w:rPr>
          <w:rFonts w:hint="eastAsia" w:hAnsi="宋体" w:cs="宋体"/>
          <w:sz w:val="24"/>
          <w:szCs w:val="24"/>
        </w:rPr>
        <w:t>﹍﹍﹍﹍﹍﹍﹍﹍﹍﹍﹍﹍﹍﹍﹍﹍﹍﹍﹍﹍﹍﹍﹍﹍﹍﹍﹍﹍</w:t>
      </w:r>
      <w:r>
        <w:rPr>
          <w:rFonts w:ascii="Times New Roman" w:eastAsia="方正仿宋简体"/>
          <w:bCs/>
          <w:sz w:val="24"/>
          <w:szCs w:val="24"/>
        </w:rPr>
        <w:t>1</w:t>
      </w:r>
    </w:p>
    <w:p w14:paraId="28F77341">
      <w:pPr>
        <w:pStyle w:val="16"/>
        <w:spacing w:line="480" w:lineRule="auto"/>
        <w:ind w:firstLine="0" w:firstLineChars="0"/>
        <w:rPr>
          <w:rFonts w:ascii="Times New Roman" w:eastAsia="方正仿宋简体"/>
          <w:sz w:val="24"/>
          <w:szCs w:val="24"/>
        </w:rPr>
      </w:pPr>
      <w:bookmarkStart w:id="5" w:name="_Toc29434"/>
      <w:bookmarkStart w:id="6" w:name="_Toc18856"/>
      <w:bookmarkStart w:id="7" w:name="_Toc29107"/>
      <w:bookmarkStart w:id="8" w:name="_Toc12106"/>
      <w:r>
        <w:rPr>
          <w:rFonts w:ascii="Times New Roman" w:eastAsia="方正仿宋简体"/>
          <w:sz w:val="24"/>
          <w:szCs w:val="24"/>
        </w:rPr>
        <w:t>1 范围</w:t>
      </w:r>
      <w:r>
        <w:rPr>
          <w:rFonts w:hint="eastAsia" w:hAnsi="宋体" w:cs="宋体"/>
          <w:sz w:val="24"/>
          <w:szCs w:val="24"/>
        </w:rPr>
        <w:t>﹍﹍﹍﹍﹍﹍﹍﹍﹍﹍﹍﹍﹍﹍﹍﹍﹍﹍﹍﹍﹍﹍﹍﹍﹍﹍﹍</w:t>
      </w:r>
      <w:bookmarkEnd w:id="5"/>
      <w:bookmarkEnd w:id="6"/>
      <w:bookmarkEnd w:id="7"/>
      <w:bookmarkEnd w:id="8"/>
      <w:r>
        <w:rPr>
          <w:rFonts w:ascii="Times New Roman" w:eastAsia="方正仿宋简体"/>
          <w:bCs/>
          <w:sz w:val="24"/>
          <w:szCs w:val="24"/>
        </w:rPr>
        <w:t>2</w:t>
      </w:r>
    </w:p>
    <w:p w14:paraId="380D4F05">
      <w:pPr>
        <w:pStyle w:val="16"/>
        <w:spacing w:line="480" w:lineRule="auto"/>
        <w:ind w:firstLine="0" w:firstLineChars="0"/>
        <w:rPr>
          <w:rFonts w:ascii="Times New Roman" w:eastAsia="方正仿宋简体"/>
          <w:sz w:val="24"/>
          <w:szCs w:val="24"/>
        </w:rPr>
      </w:pPr>
      <w:bookmarkStart w:id="9" w:name="_Toc20974"/>
      <w:bookmarkStart w:id="10" w:name="_Toc8624"/>
      <w:bookmarkStart w:id="11" w:name="_Toc2893"/>
      <w:bookmarkStart w:id="12" w:name="_Toc32334"/>
      <w:r>
        <w:rPr>
          <w:rFonts w:ascii="Times New Roman" w:eastAsia="方正仿宋简体"/>
          <w:sz w:val="24"/>
          <w:szCs w:val="24"/>
        </w:rPr>
        <w:t>2 规范性引用文件</w:t>
      </w:r>
      <w:r>
        <w:rPr>
          <w:rFonts w:hint="eastAsia" w:hAnsi="宋体" w:cs="宋体"/>
          <w:sz w:val="24"/>
          <w:szCs w:val="24"/>
        </w:rPr>
        <w:t>﹍﹍﹍﹍﹍﹍﹍﹍﹍﹍﹍﹍﹍﹍﹍﹍﹍﹍﹍﹍﹍﹍</w:t>
      </w:r>
      <w:bookmarkEnd w:id="9"/>
      <w:bookmarkEnd w:id="10"/>
      <w:bookmarkEnd w:id="11"/>
      <w:bookmarkEnd w:id="12"/>
      <w:r>
        <w:rPr>
          <w:rFonts w:ascii="Times New Roman" w:eastAsia="方正仿宋简体"/>
          <w:bCs/>
          <w:sz w:val="24"/>
          <w:szCs w:val="24"/>
        </w:rPr>
        <w:t>2</w:t>
      </w:r>
    </w:p>
    <w:p w14:paraId="719D3473">
      <w:pPr>
        <w:pStyle w:val="16"/>
        <w:spacing w:line="480" w:lineRule="auto"/>
        <w:ind w:firstLine="0" w:firstLineChars="0"/>
        <w:rPr>
          <w:rFonts w:ascii="Times New Roman" w:eastAsia="方正仿宋简体"/>
          <w:sz w:val="24"/>
          <w:szCs w:val="24"/>
        </w:rPr>
      </w:pPr>
      <w:bookmarkStart w:id="13" w:name="_Toc24794"/>
      <w:bookmarkStart w:id="14" w:name="_Toc4815"/>
      <w:bookmarkStart w:id="15" w:name="_Toc26078"/>
      <w:bookmarkStart w:id="16" w:name="_Toc29560"/>
      <w:r>
        <w:rPr>
          <w:rFonts w:ascii="Times New Roman" w:eastAsia="方正仿宋简体"/>
          <w:sz w:val="24"/>
          <w:szCs w:val="24"/>
        </w:rPr>
        <w:t>3 术语和定义</w:t>
      </w:r>
      <w:r>
        <w:rPr>
          <w:rFonts w:hint="eastAsia" w:hAnsi="宋体" w:cs="宋体"/>
          <w:sz w:val="24"/>
          <w:szCs w:val="24"/>
        </w:rPr>
        <w:t>﹍﹍﹍﹍﹍﹍﹍﹍﹍﹍﹍﹍﹍﹍﹍﹍﹍﹍﹍﹍﹍﹍﹍﹍</w:t>
      </w:r>
      <w:bookmarkEnd w:id="13"/>
      <w:bookmarkEnd w:id="14"/>
      <w:bookmarkEnd w:id="15"/>
      <w:bookmarkEnd w:id="16"/>
      <w:r>
        <w:rPr>
          <w:rFonts w:ascii="Times New Roman" w:eastAsia="方正仿宋简体"/>
          <w:bCs/>
          <w:sz w:val="24"/>
          <w:szCs w:val="24"/>
        </w:rPr>
        <w:t>2</w:t>
      </w:r>
    </w:p>
    <w:p w14:paraId="36F2247A">
      <w:pPr>
        <w:pStyle w:val="16"/>
        <w:spacing w:line="480" w:lineRule="auto"/>
        <w:ind w:firstLine="0" w:firstLineChars="0"/>
        <w:rPr>
          <w:rFonts w:ascii="Times New Roman" w:eastAsia="方正仿宋简体"/>
          <w:sz w:val="24"/>
          <w:szCs w:val="24"/>
        </w:rPr>
      </w:pPr>
      <w:bookmarkStart w:id="17" w:name="_Toc20249"/>
      <w:bookmarkStart w:id="18" w:name="_Toc10164"/>
      <w:bookmarkStart w:id="19" w:name="_Toc10515"/>
      <w:bookmarkStart w:id="20" w:name="_Toc28566"/>
      <w:r>
        <w:rPr>
          <w:rFonts w:ascii="Times New Roman" w:eastAsia="方正仿宋简体"/>
          <w:sz w:val="24"/>
          <w:szCs w:val="24"/>
        </w:rPr>
        <w:t xml:space="preserve">4 </w:t>
      </w:r>
      <w:r>
        <w:rPr>
          <w:rFonts w:hint="eastAsia" w:ascii="Times New Roman" w:eastAsia="方正仿宋简体"/>
          <w:sz w:val="24"/>
          <w:szCs w:val="24"/>
        </w:rPr>
        <w:t>适用</w:t>
      </w:r>
      <w:r>
        <w:rPr>
          <w:rFonts w:ascii="Times New Roman" w:eastAsia="方正仿宋简体"/>
          <w:sz w:val="24"/>
          <w:szCs w:val="24"/>
        </w:rPr>
        <w:t>院校专业</w:t>
      </w:r>
      <w:r>
        <w:rPr>
          <w:rFonts w:hint="eastAsia" w:hAnsi="宋体" w:cs="宋体"/>
          <w:sz w:val="24"/>
          <w:szCs w:val="24"/>
        </w:rPr>
        <w:t>﹍﹍﹍﹍﹍﹍﹍﹍﹍﹍﹍﹍﹍﹍﹍﹍﹍﹍﹍﹍﹍﹍﹍</w:t>
      </w:r>
      <w:bookmarkEnd w:id="17"/>
      <w:bookmarkEnd w:id="18"/>
      <w:bookmarkEnd w:id="19"/>
      <w:bookmarkEnd w:id="20"/>
      <w:r>
        <w:rPr>
          <w:rFonts w:ascii="Times New Roman" w:eastAsia="方正仿宋简体"/>
          <w:bCs/>
          <w:sz w:val="24"/>
          <w:szCs w:val="24"/>
        </w:rPr>
        <w:t>3</w:t>
      </w:r>
    </w:p>
    <w:p w14:paraId="026E2A2D">
      <w:pPr>
        <w:pStyle w:val="16"/>
        <w:spacing w:line="480" w:lineRule="auto"/>
        <w:ind w:firstLine="0" w:firstLineChars="0"/>
        <w:rPr>
          <w:rFonts w:ascii="Times New Roman" w:eastAsia="方正仿宋简体"/>
          <w:sz w:val="24"/>
          <w:szCs w:val="24"/>
        </w:rPr>
      </w:pPr>
      <w:bookmarkStart w:id="21" w:name="_Toc30683"/>
      <w:bookmarkStart w:id="22" w:name="_Toc6018"/>
      <w:bookmarkStart w:id="23" w:name="_Toc31064"/>
      <w:bookmarkStart w:id="24" w:name="_Toc29052"/>
      <w:r>
        <w:rPr>
          <w:rFonts w:ascii="Times New Roman" w:eastAsia="方正仿宋简体"/>
          <w:sz w:val="24"/>
          <w:szCs w:val="24"/>
        </w:rPr>
        <w:t>5 面向</w:t>
      </w:r>
      <w:r>
        <w:rPr>
          <w:rFonts w:hint="eastAsia" w:ascii="Times New Roman" w:eastAsia="方正仿宋简体"/>
          <w:sz w:val="24"/>
          <w:szCs w:val="24"/>
        </w:rPr>
        <w:t>职业</w:t>
      </w:r>
      <w:r>
        <w:rPr>
          <w:rFonts w:ascii="Times New Roman" w:eastAsia="方正仿宋简体"/>
          <w:sz w:val="24"/>
          <w:szCs w:val="24"/>
        </w:rPr>
        <w:t>岗位（群）</w:t>
      </w:r>
      <w:r>
        <w:rPr>
          <w:rFonts w:hint="eastAsia" w:hAnsi="宋体" w:cs="宋体"/>
          <w:sz w:val="24"/>
          <w:szCs w:val="24"/>
        </w:rPr>
        <w:t>﹍﹍﹍﹍﹍﹍﹍﹍﹍﹍﹍﹍﹍﹍﹍﹍﹍﹍﹍﹍</w:t>
      </w:r>
      <w:bookmarkEnd w:id="21"/>
      <w:bookmarkEnd w:id="22"/>
      <w:bookmarkEnd w:id="23"/>
      <w:bookmarkEnd w:id="24"/>
      <w:r>
        <w:rPr>
          <w:rFonts w:ascii="Times New Roman" w:eastAsia="方正仿宋简体"/>
          <w:bCs/>
          <w:sz w:val="24"/>
          <w:szCs w:val="24"/>
        </w:rPr>
        <w:t>4</w:t>
      </w:r>
    </w:p>
    <w:p w14:paraId="5754A942">
      <w:pPr>
        <w:pStyle w:val="16"/>
        <w:spacing w:line="480" w:lineRule="auto"/>
        <w:ind w:firstLine="0" w:firstLineChars="0"/>
        <w:rPr>
          <w:rFonts w:ascii="Times New Roman" w:eastAsia="方正仿宋简体"/>
          <w:sz w:val="24"/>
          <w:szCs w:val="24"/>
        </w:rPr>
      </w:pPr>
      <w:bookmarkStart w:id="25" w:name="_Toc20342"/>
      <w:bookmarkStart w:id="26" w:name="_Toc8060"/>
      <w:bookmarkStart w:id="27" w:name="_Toc21892"/>
      <w:bookmarkStart w:id="28" w:name="_Toc2231"/>
      <w:r>
        <w:rPr>
          <w:rFonts w:ascii="Times New Roman" w:eastAsia="方正仿宋简体"/>
          <w:sz w:val="24"/>
          <w:szCs w:val="24"/>
        </w:rPr>
        <w:t>6 职业</w:t>
      </w:r>
      <w:r>
        <w:rPr>
          <w:rFonts w:hint="eastAsia" w:ascii="Times New Roman" w:eastAsia="方正仿宋简体"/>
          <w:sz w:val="24"/>
          <w:szCs w:val="24"/>
        </w:rPr>
        <w:t>能力</w:t>
      </w:r>
      <w:r>
        <w:rPr>
          <w:rFonts w:ascii="Times New Roman" w:eastAsia="方正仿宋简体"/>
          <w:sz w:val="24"/>
          <w:szCs w:val="24"/>
        </w:rPr>
        <w:t>要求</w:t>
      </w:r>
      <w:r>
        <w:rPr>
          <w:rFonts w:hint="eastAsia" w:hAnsi="宋体" w:cs="宋体"/>
          <w:sz w:val="24"/>
          <w:szCs w:val="24"/>
        </w:rPr>
        <w:t>﹍﹍﹍﹍﹍﹍﹍﹍﹍﹍﹍﹍﹍﹍﹍﹍﹍﹍﹍﹍﹍﹍﹍</w:t>
      </w:r>
      <w:bookmarkEnd w:id="25"/>
      <w:bookmarkEnd w:id="26"/>
      <w:bookmarkEnd w:id="27"/>
      <w:bookmarkEnd w:id="28"/>
      <w:r>
        <w:rPr>
          <w:rFonts w:ascii="Times New Roman" w:eastAsia="方正仿宋简体"/>
          <w:bCs/>
          <w:sz w:val="24"/>
          <w:szCs w:val="24"/>
        </w:rPr>
        <w:t>4</w:t>
      </w:r>
    </w:p>
    <w:p w14:paraId="65EE298F">
      <w:pPr>
        <w:pStyle w:val="16"/>
        <w:spacing w:line="480" w:lineRule="auto"/>
        <w:ind w:firstLine="0" w:firstLineChars="0"/>
        <w:rPr>
          <w:rFonts w:ascii="Times New Roman" w:eastAsia="方正仿宋简体"/>
          <w:sz w:val="24"/>
          <w:szCs w:val="24"/>
        </w:rPr>
      </w:pPr>
      <w:r>
        <w:rPr>
          <w:rFonts w:ascii="Times New Roman" w:eastAsia="方正仿宋简体"/>
          <w:sz w:val="24"/>
          <w:szCs w:val="24"/>
        </w:rPr>
        <w:t>参考文献</w:t>
      </w:r>
      <w:r>
        <w:rPr>
          <w:rFonts w:hint="eastAsia" w:hAnsi="宋体" w:cs="宋体"/>
          <w:sz w:val="24"/>
          <w:szCs w:val="24"/>
        </w:rPr>
        <w:t>﹍﹍﹍﹍﹍﹍﹍﹍﹍﹍﹍﹍﹍﹍﹍﹍﹍﹍﹍﹍﹍﹍﹍﹍﹍﹍</w:t>
      </w:r>
      <w:r>
        <w:rPr>
          <w:rFonts w:ascii="Times New Roman" w:eastAsia="方正仿宋简体"/>
          <w:bCs/>
          <w:sz w:val="24"/>
          <w:szCs w:val="24"/>
        </w:rPr>
        <w:t>11</w:t>
      </w:r>
    </w:p>
    <w:p w14:paraId="7CBD48F5">
      <w:pPr>
        <w:pStyle w:val="13"/>
        <w:ind w:left="0"/>
        <w:rPr>
          <w:rFonts w:hint="eastAsia" w:hAnsi="宋体"/>
          <w:sz w:val="21"/>
          <w:szCs w:val="21"/>
        </w:rPr>
      </w:pPr>
    </w:p>
    <w:p w14:paraId="04A4E26F">
      <w:pPr>
        <w:pStyle w:val="16"/>
        <w:spacing w:line="360" w:lineRule="auto"/>
        <w:ind w:firstLine="640"/>
        <w:jc w:val="center"/>
        <w:rPr>
          <w:rFonts w:hint="eastAsia" w:ascii="黑体" w:hAnsi="黑体" w:eastAsia="黑体"/>
          <w:sz w:val="32"/>
          <w:szCs w:val="32"/>
        </w:rPr>
      </w:pPr>
    </w:p>
    <w:p w14:paraId="448F6084">
      <w:pPr>
        <w:pStyle w:val="16"/>
        <w:spacing w:line="360" w:lineRule="auto"/>
        <w:ind w:firstLine="640"/>
        <w:jc w:val="center"/>
        <w:rPr>
          <w:rFonts w:hint="eastAsia" w:ascii="黑体" w:hAnsi="黑体" w:eastAsia="黑体"/>
          <w:sz w:val="32"/>
          <w:szCs w:val="32"/>
        </w:rPr>
      </w:pPr>
    </w:p>
    <w:p w14:paraId="4B767787">
      <w:pPr>
        <w:pStyle w:val="16"/>
        <w:spacing w:line="360" w:lineRule="auto"/>
        <w:ind w:firstLine="640"/>
        <w:jc w:val="center"/>
        <w:rPr>
          <w:rFonts w:hint="eastAsia" w:ascii="黑体" w:hAnsi="黑体" w:eastAsia="黑体"/>
          <w:sz w:val="32"/>
          <w:szCs w:val="32"/>
        </w:rPr>
      </w:pPr>
    </w:p>
    <w:p w14:paraId="1AD44C23">
      <w:pPr>
        <w:pStyle w:val="16"/>
        <w:spacing w:line="360" w:lineRule="auto"/>
        <w:ind w:firstLine="640"/>
        <w:jc w:val="center"/>
        <w:rPr>
          <w:rFonts w:hint="eastAsia" w:ascii="黑体" w:hAnsi="黑体" w:eastAsia="黑体"/>
          <w:sz w:val="32"/>
          <w:szCs w:val="32"/>
        </w:rPr>
      </w:pPr>
    </w:p>
    <w:p w14:paraId="5D79A93D">
      <w:pPr>
        <w:pStyle w:val="16"/>
        <w:spacing w:line="360" w:lineRule="auto"/>
        <w:ind w:firstLine="640"/>
        <w:jc w:val="center"/>
        <w:rPr>
          <w:rFonts w:hint="eastAsia" w:ascii="黑体" w:hAnsi="黑体" w:eastAsia="黑体"/>
          <w:sz w:val="32"/>
          <w:szCs w:val="32"/>
        </w:rPr>
      </w:pPr>
    </w:p>
    <w:p w14:paraId="1F5E70CA">
      <w:pPr>
        <w:rPr>
          <w:rFonts w:hint="eastAsia" w:ascii="黑体" w:hAnsi="黑体" w:eastAsia="黑体"/>
          <w:szCs w:val="32"/>
        </w:rPr>
      </w:pPr>
      <w:bookmarkStart w:id="29" w:name="_Toc23460"/>
      <w:bookmarkStart w:id="30" w:name="_Toc17377"/>
      <w:bookmarkStart w:id="31" w:name="_Toc5383"/>
      <w:bookmarkStart w:id="32" w:name="_Toc27050"/>
    </w:p>
    <w:p w14:paraId="0519B0E1">
      <w:pPr>
        <w:pStyle w:val="16"/>
        <w:spacing w:line="360" w:lineRule="auto"/>
        <w:ind w:firstLine="0" w:firstLineChars="0"/>
        <w:jc w:val="center"/>
        <w:rPr>
          <w:rFonts w:hint="eastAsia" w:ascii="黑体" w:hAnsi="黑体" w:eastAsia="黑体"/>
          <w:sz w:val="32"/>
          <w:szCs w:val="32"/>
        </w:rPr>
      </w:pPr>
    </w:p>
    <w:p w14:paraId="45A363C1">
      <w:pPr>
        <w:pStyle w:val="16"/>
        <w:spacing w:line="360" w:lineRule="auto"/>
        <w:ind w:firstLine="0" w:firstLineChars="0"/>
        <w:jc w:val="center"/>
        <w:rPr>
          <w:rFonts w:hint="eastAsia" w:ascii="黑体" w:hAnsi="黑体" w:eastAsia="黑体"/>
          <w:sz w:val="32"/>
          <w:szCs w:val="32"/>
        </w:rPr>
      </w:pPr>
      <w:r>
        <w:rPr>
          <w:rFonts w:ascii="黑体" w:hAnsi="黑体" w:eastAsia="黑体"/>
          <w:sz w:val="32"/>
          <w:szCs w:val="32"/>
        </w:rPr>
        <w:br w:type="page"/>
      </w:r>
      <w:bookmarkEnd w:id="0"/>
      <w:bookmarkEnd w:id="29"/>
      <w:bookmarkEnd w:id="30"/>
      <w:bookmarkEnd w:id="31"/>
      <w:bookmarkEnd w:id="32"/>
      <w:r>
        <w:rPr>
          <w:rFonts w:hint="eastAsia" w:ascii="黑体" w:hAnsi="黑体" w:eastAsia="黑体"/>
          <w:sz w:val="32"/>
          <w:szCs w:val="32"/>
        </w:rPr>
        <w:t>前</w:t>
      </w:r>
      <w:bookmarkStart w:id="33" w:name="BKQY"/>
      <w:r>
        <w:rPr>
          <w:rFonts w:hint="eastAsia" w:ascii="黑体" w:hAnsi="黑体" w:eastAsia="黑体"/>
          <w:sz w:val="32"/>
          <w:szCs w:val="32"/>
        </w:rPr>
        <w:t xml:space="preserve">    言</w:t>
      </w:r>
      <w:bookmarkEnd w:id="33"/>
    </w:p>
    <w:p w14:paraId="2836CFE9">
      <w:pPr>
        <w:pStyle w:val="16"/>
        <w:spacing w:line="600" w:lineRule="exact"/>
        <w:ind w:firstLine="480"/>
        <w:jc w:val="center"/>
        <w:rPr>
          <w:rFonts w:hint="eastAsia" w:ascii="方正仿宋简体" w:hAnsi="方正仿宋简体" w:eastAsia="方正仿宋简体" w:cs="方正仿宋简体"/>
          <w:sz w:val="24"/>
          <w:szCs w:val="24"/>
        </w:rPr>
      </w:pPr>
    </w:p>
    <w:p w14:paraId="59D2ED97">
      <w:pPr>
        <w:ind w:firstLine="420"/>
        <w:rPr>
          <w:rFonts w:eastAsia="方正仿宋简体"/>
        </w:rPr>
      </w:pPr>
      <w:r>
        <w:rPr>
          <w:rFonts w:eastAsia="方正仿宋简体"/>
        </w:rPr>
        <w:t>本标准按照GB/T 1.1-2020《标准化工作导则 第1部分：标准化文件的结构和起草规则》的规定起草。</w:t>
      </w:r>
    </w:p>
    <w:p w14:paraId="0BF1B2CB">
      <w:pPr>
        <w:ind w:firstLine="420"/>
        <w:rPr>
          <w:rFonts w:eastAsia="方正仿宋简体"/>
        </w:rPr>
      </w:pPr>
      <w:r>
        <w:rPr>
          <w:rFonts w:hint="eastAsia" w:eastAsia="方正仿宋简体"/>
        </w:rPr>
        <w:t>本标准发起单位：。</w:t>
      </w:r>
    </w:p>
    <w:p w14:paraId="5264CFAA">
      <w:pPr>
        <w:ind w:firstLine="420"/>
        <w:rPr>
          <w:rFonts w:hint="eastAsia" w:eastAsia="方正仿宋简体"/>
          <w:lang w:eastAsia="zh-CN"/>
        </w:rPr>
      </w:pPr>
      <w:r>
        <w:rPr>
          <w:rFonts w:eastAsia="方正仿宋简体"/>
        </w:rPr>
        <w:t>本标准起草单位：</w:t>
      </w:r>
      <w:r>
        <w:rPr>
          <w:rFonts w:hint="eastAsia" w:eastAsia="方正仿宋简体"/>
          <w:lang w:val="en-US" w:eastAsia="zh-CN"/>
        </w:rPr>
        <w:t xml:space="preserve"> </w:t>
      </w:r>
    </w:p>
    <w:p w14:paraId="007F9643">
      <w:pPr>
        <w:ind w:firstLine="420"/>
        <w:rPr>
          <w:rFonts w:eastAsia="方正仿宋简体"/>
        </w:rPr>
      </w:pPr>
      <w:r>
        <w:rPr>
          <w:rFonts w:eastAsia="方正仿宋简体"/>
        </w:rPr>
        <w:t>本标准主要起草人：。</w:t>
      </w:r>
    </w:p>
    <w:p w14:paraId="39B4323A">
      <w:pPr>
        <w:pStyle w:val="16"/>
        <w:overflowPunct w:val="0"/>
        <w:ind w:firstLine="480"/>
        <w:rPr>
          <w:rFonts w:hint="eastAsia" w:ascii="方正仿宋简体" w:hAnsi="方正仿宋简体" w:eastAsia="方正仿宋简体" w:cs="方正仿宋简体"/>
          <w:bCs/>
          <w:sz w:val="24"/>
          <w:szCs w:val="24"/>
          <w:highlight w:val="yellow"/>
        </w:rPr>
      </w:pPr>
    </w:p>
    <w:p w14:paraId="3A4060F1">
      <w:pPr>
        <w:pStyle w:val="16"/>
        <w:spacing w:line="600" w:lineRule="exact"/>
        <w:ind w:firstLine="400"/>
        <w:rPr>
          <w:rFonts w:hint="eastAsia" w:ascii="方正小标宋简体" w:hAnsi="方正小标宋简体" w:eastAsia="方正小标宋简体" w:cs="方正小标宋简体"/>
          <w:lang w:val="en-US" w:eastAsia="zh-CN"/>
        </w:rPr>
      </w:pPr>
      <w:r>
        <w:rPr>
          <w:rFonts w:hint="eastAsia" w:ascii="方正小标宋简体" w:hAnsi="方正小标宋简体" w:eastAsia="方正小标宋简体" w:cs="方正小标宋简体"/>
          <w:lang w:val="en-US" w:eastAsia="zh-CN"/>
        </w:rPr>
        <w:t xml:space="preserve"> </w:t>
      </w:r>
    </w:p>
    <w:p w14:paraId="02B5C5F6">
      <w:pPr>
        <w:pStyle w:val="16"/>
        <w:spacing w:line="600" w:lineRule="exact"/>
        <w:ind w:firstLine="400"/>
        <w:rPr>
          <w:rFonts w:hint="eastAsia" w:ascii="方正小标宋简体" w:hAnsi="方正小标宋简体" w:eastAsia="方正小标宋简体" w:cs="方正小标宋简体"/>
          <w:lang w:val="en-US" w:eastAsia="zh-CN"/>
        </w:rPr>
      </w:pPr>
    </w:p>
    <w:p w14:paraId="4A265B72">
      <w:pPr>
        <w:pStyle w:val="16"/>
        <w:spacing w:line="600" w:lineRule="exact"/>
        <w:ind w:firstLine="400"/>
        <w:rPr>
          <w:rFonts w:hint="eastAsia" w:ascii="方正小标宋简体" w:hAnsi="方正小标宋简体" w:eastAsia="方正小标宋简体" w:cs="方正小标宋简体"/>
          <w:lang w:val="en-US" w:eastAsia="zh-CN"/>
        </w:rPr>
      </w:pPr>
    </w:p>
    <w:p w14:paraId="687AE549">
      <w:pPr>
        <w:pStyle w:val="16"/>
        <w:spacing w:line="600" w:lineRule="exact"/>
        <w:ind w:firstLine="400"/>
        <w:rPr>
          <w:rFonts w:hint="eastAsia" w:ascii="方正小标宋简体" w:hAnsi="方正小标宋简体" w:eastAsia="方正小标宋简体" w:cs="方正小标宋简体"/>
          <w:lang w:val="en-US" w:eastAsia="zh-CN"/>
        </w:rPr>
      </w:pPr>
    </w:p>
    <w:p w14:paraId="03A568DB">
      <w:pPr>
        <w:pStyle w:val="16"/>
        <w:spacing w:line="600" w:lineRule="exact"/>
        <w:ind w:firstLine="400"/>
        <w:rPr>
          <w:rFonts w:hint="eastAsia" w:ascii="方正小标宋简体" w:hAnsi="方正小标宋简体" w:eastAsia="方正小标宋简体" w:cs="方正小标宋简体"/>
          <w:lang w:val="en-US" w:eastAsia="zh-CN"/>
        </w:rPr>
      </w:pPr>
    </w:p>
    <w:p w14:paraId="4E4E5D16">
      <w:pPr>
        <w:pStyle w:val="16"/>
        <w:spacing w:line="600" w:lineRule="exact"/>
        <w:ind w:firstLine="400"/>
        <w:rPr>
          <w:rFonts w:hint="eastAsia" w:ascii="方正小标宋简体" w:hAnsi="方正小标宋简体" w:eastAsia="方正小标宋简体" w:cs="方正小标宋简体"/>
          <w:lang w:val="en-US" w:eastAsia="zh-CN"/>
        </w:rPr>
      </w:pPr>
      <w:bookmarkStart w:id="224" w:name="_GoBack"/>
      <w:bookmarkEnd w:id="224"/>
    </w:p>
    <w:p w14:paraId="52D3D55E">
      <w:pPr>
        <w:pStyle w:val="16"/>
        <w:ind w:firstLine="400"/>
        <w:rPr>
          <w:szCs w:val="21"/>
        </w:rPr>
      </w:pPr>
    </w:p>
    <w:p w14:paraId="23AD4C7E">
      <w:pPr>
        <w:pStyle w:val="16"/>
        <w:ind w:firstLine="400"/>
        <w:rPr>
          <w:szCs w:val="21"/>
        </w:rPr>
      </w:pPr>
    </w:p>
    <w:p w14:paraId="4A5C5357">
      <w:pPr>
        <w:pStyle w:val="16"/>
        <w:ind w:firstLine="400"/>
        <w:rPr>
          <w:szCs w:val="21"/>
        </w:rPr>
      </w:pPr>
    </w:p>
    <w:p w14:paraId="52F61B14">
      <w:pPr>
        <w:pStyle w:val="16"/>
        <w:ind w:firstLine="400"/>
        <w:rPr>
          <w:szCs w:val="21"/>
        </w:rPr>
      </w:pPr>
    </w:p>
    <w:p w14:paraId="4679AC60">
      <w:pPr>
        <w:pStyle w:val="16"/>
        <w:ind w:firstLine="400"/>
        <w:rPr>
          <w:szCs w:val="21"/>
        </w:rPr>
      </w:pPr>
    </w:p>
    <w:p w14:paraId="44D6BE1C">
      <w:pPr>
        <w:pStyle w:val="17"/>
        <w:spacing w:beforeLines="0" w:afterLines="0"/>
        <w:ind w:left="0"/>
        <w:outlineLvl w:val="9"/>
        <w:rPr>
          <w:sz w:val="24"/>
          <w:szCs w:val="24"/>
        </w:rPr>
      </w:pPr>
      <w:r>
        <w:rPr>
          <w:szCs w:val="21"/>
        </w:rPr>
        <w:br w:type="page"/>
      </w:r>
      <w:bookmarkStart w:id="34" w:name="_Toc4458"/>
      <w:bookmarkStart w:id="35" w:name="_Toc311705334"/>
      <w:bookmarkStart w:id="36" w:name="_Toc13337"/>
      <w:bookmarkStart w:id="37" w:name="_Toc315966972"/>
      <w:bookmarkStart w:id="38" w:name="_Toc9461596"/>
      <w:bookmarkStart w:id="39" w:name="_Toc19214"/>
      <w:bookmarkStart w:id="40" w:name="_Toc10449379"/>
      <w:bookmarkStart w:id="41" w:name="_Toc311745434"/>
      <w:bookmarkStart w:id="42" w:name="_Toc311494302"/>
      <w:bookmarkStart w:id="43" w:name="_Toc77061343"/>
      <w:bookmarkStart w:id="44" w:name="_Toc10449957"/>
      <w:bookmarkStart w:id="45" w:name="_Toc4349"/>
      <w:bookmarkStart w:id="46" w:name="_Toc17532"/>
      <w:bookmarkStart w:id="47" w:name="_Toc312058602"/>
      <w:bookmarkStart w:id="48" w:name="_Toc311493693"/>
      <w:bookmarkStart w:id="49" w:name="_Toc9206294"/>
      <w:bookmarkStart w:id="50" w:name="_Toc315953585"/>
      <w:bookmarkStart w:id="51" w:name="_Toc9206518"/>
      <w:bookmarkStart w:id="52" w:name="_Toc317597303"/>
      <w:bookmarkStart w:id="53" w:name="_Toc10395653"/>
      <w:bookmarkStart w:id="54" w:name="_Toc27676"/>
      <w:bookmarkStart w:id="55" w:name="_Toc311472175"/>
      <w:bookmarkStart w:id="56" w:name="_Toc312063236"/>
      <w:bookmarkStart w:id="57" w:name="_Toc10448171"/>
      <w:bookmarkStart w:id="58" w:name="_Toc10449822"/>
      <w:bookmarkStart w:id="59" w:name="_Toc311743864"/>
      <w:bookmarkStart w:id="60" w:name="_Toc312058563"/>
      <w:bookmarkStart w:id="61" w:name="_Toc315953471"/>
      <w:bookmarkStart w:id="62" w:name="_Toc311705223"/>
      <w:r>
        <w:rPr>
          <w:rFonts w:hint="eastAsia"/>
          <w:sz w:val="24"/>
          <w:szCs w:val="24"/>
        </w:rPr>
        <w:t>1</w:t>
      </w:r>
      <w:r>
        <w:rPr>
          <w:sz w:val="24"/>
          <w:szCs w:val="24"/>
        </w:rPr>
        <w:t xml:space="preserve">  </w:t>
      </w:r>
      <w:r>
        <w:rPr>
          <w:rFonts w:hint="eastAsia"/>
          <w:sz w:val="24"/>
          <w:szCs w:val="24"/>
        </w:rPr>
        <w:t>范围</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7EE0127">
      <w:pPr>
        <w:pStyle w:val="16"/>
        <w:ind w:firstLine="480"/>
        <w:rPr>
          <w:rFonts w:hAnsi="宋体"/>
          <w:sz w:val="24"/>
          <w:szCs w:val="24"/>
        </w:rPr>
      </w:pPr>
      <w:bookmarkStart w:id="63" w:name="_Toc311493694"/>
      <w:bookmarkStart w:id="64" w:name="_Toc311494303"/>
      <w:bookmarkStart w:id="65" w:name="_Toc311705224"/>
      <w:bookmarkStart w:id="66" w:name="_Toc311472176"/>
      <w:bookmarkStart w:id="67" w:name="_Toc311745435"/>
      <w:bookmarkStart w:id="68" w:name="_Toc311705335"/>
      <w:bookmarkStart w:id="69" w:name="_Toc311743865"/>
      <w:r>
        <w:rPr>
          <w:rFonts w:hint="eastAsia" w:hAnsi="宋体"/>
          <w:sz w:val="24"/>
          <w:szCs w:val="24"/>
        </w:rPr>
        <w:t>智能投顾是指运用大数据、云计算、人工智能等先进信息技术，根据投资者的风险偏好、财务状况、投资目标等因素，利用资产配置模型匹配出最优的投资组合，供投资者选择和决策的职业。</w:t>
      </w:r>
    </w:p>
    <w:p w14:paraId="7D480CD6">
      <w:pPr>
        <w:pStyle w:val="16"/>
        <w:ind w:firstLine="480"/>
        <w:rPr>
          <w:rFonts w:hint="eastAsia" w:hAnsi="宋体"/>
          <w:sz w:val="24"/>
          <w:szCs w:val="24"/>
        </w:rPr>
      </w:pPr>
      <w:r>
        <w:rPr>
          <w:rFonts w:hint="eastAsia" w:hAnsi="宋体"/>
          <w:sz w:val="24"/>
          <w:szCs w:val="24"/>
        </w:rPr>
        <w:t>本标准规定了</w:t>
      </w:r>
      <w:bookmarkStart w:id="70" w:name="OLE_LINK4"/>
      <w:r>
        <w:rPr>
          <w:rFonts w:hint="eastAsia" w:hAnsi="宋体"/>
          <w:sz w:val="24"/>
          <w:szCs w:val="24"/>
        </w:rPr>
        <w:t>智能投顾</w:t>
      </w:r>
      <w:bookmarkEnd w:id="70"/>
      <w:r>
        <w:rPr>
          <w:rFonts w:hint="eastAsia" w:hAnsi="宋体"/>
          <w:sz w:val="24"/>
          <w:szCs w:val="24"/>
        </w:rPr>
        <w:t>对应的工作领域、工作任务及职业能力。</w:t>
      </w:r>
    </w:p>
    <w:p w14:paraId="502177AF">
      <w:pPr>
        <w:pStyle w:val="16"/>
        <w:ind w:firstLine="480"/>
        <w:rPr>
          <w:rFonts w:hint="eastAsia" w:hAnsi="宋体"/>
          <w:sz w:val="24"/>
          <w:szCs w:val="24"/>
        </w:rPr>
      </w:pPr>
      <w:r>
        <w:rPr>
          <w:rFonts w:hint="eastAsia" w:hAnsi="宋体"/>
          <w:sz w:val="24"/>
          <w:szCs w:val="24"/>
        </w:rPr>
        <w:t>本标准适用于智能投顾能力培训、考核与评价，相关用人单位的人员聘用、培训与考核可参照使用。高校金融相关专业人才培养方案可参照使用。</w:t>
      </w:r>
    </w:p>
    <w:p w14:paraId="2EF95DDA">
      <w:pPr>
        <w:pStyle w:val="17"/>
        <w:spacing w:beforeLines="0" w:afterLines="0"/>
        <w:ind w:left="0"/>
        <w:outlineLvl w:val="9"/>
        <w:rPr>
          <w:sz w:val="24"/>
          <w:szCs w:val="24"/>
        </w:rPr>
      </w:pPr>
      <w:bookmarkStart w:id="71" w:name="_Toc312058603"/>
      <w:bookmarkStart w:id="72" w:name="_Toc10395654"/>
      <w:bookmarkStart w:id="73" w:name="_Toc317597304"/>
      <w:bookmarkStart w:id="74" w:name="_Toc315966973"/>
      <w:bookmarkStart w:id="75" w:name="_Toc23732"/>
      <w:bookmarkStart w:id="76" w:name="_Toc15832"/>
      <w:bookmarkStart w:id="77" w:name="_Toc32126"/>
      <w:bookmarkStart w:id="78" w:name="_Toc77061344"/>
      <w:bookmarkStart w:id="79" w:name="_Toc9206519"/>
      <w:bookmarkStart w:id="80" w:name="_Toc315953472"/>
      <w:bookmarkStart w:id="81" w:name="_Toc9206295"/>
      <w:bookmarkStart w:id="82" w:name="_Toc10448172"/>
      <w:bookmarkStart w:id="83" w:name="_Toc312058564"/>
      <w:bookmarkStart w:id="84" w:name="_Toc312063237"/>
      <w:bookmarkStart w:id="85" w:name="_Toc10449958"/>
      <w:bookmarkStart w:id="86" w:name="_Toc9461597"/>
      <w:bookmarkStart w:id="87" w:name="_Toc10449823"/>
      <w:bookmarkStart w:id="88" w:name="_Toc315953586"/>
      <w:bookmarkStart w:id="89" w:name="_Toc5721"/>
      <w:bookmarkStart w:id="90" w:name="_Toc14348"/>
      <w:bookmarkStart w:id="91" w:name="_Toc8885"/>
      <w:bookmarkStart w:id="92" w:name="_Toc10449380"/>
      <w:r>
        <w:rPr>
          <w:rFonts w:hint="eastAsia"/>
          <w:sz w:val="24"/>
          <w:szCs w:val="24"/>
        </w:rPr>
        <w:t>2</w:t>
      </w:r>
      <w:r>
        <w:rPr>
          <w:sz w:val="24"/>
          <w:szCs w:val="24"/>
        </w:rPr>
        <w:t xml:space="preserve">  </w:t>
      </w:r>
      <w:r>
        <w:rPr>
          <w:rFonts w:hint="eastAsia"/>
          <w:sz w:val="24"/>
          <w:szCs w:val="24"/>
        </w:rPr>
        <w:t>规范性引用文件</w:t>
      </w:r>
      <w:bookmarkEnd w:id="63"/>
      <w:bookmarkEnd w:id="64"/>
      <w:bookmarkEnd w:id="65"/>
      <w:bookmarkEnd w:id="66"/>
      <w:bookmarkEnd w:id="67"/>
      <w:bookmarkEnd w:id="68"/>
      <w:bookmarkEnd w:id="6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F922F8A">
      <w:pPr>
        <w:pStyle w:val="16"/>
        <w:ind w:firstLine="480"/>
        <w:rPr>
          <w:rFonts w:hint="eastAsia" w:hAnsi="宋体"/>
          <w:sz w:val="24"/>
          <w:szCs w:val="24"/>
        </w:rPr>
      </w:pPr>
      <w:r>
        <w:rPr>
          <w:rFonts w:hint="eastAsia" w:hAnsi="宋体"/>
          <w:sz w:val="24"/>
          <w:szCs w:val="24"/>
        </w:rPr>
        <w:t>下列文件对于本标准的应用是必不可少的。凡是注日期的引用文件，仅注日期的版本适用于本标准。凡是不注日期的引用文件，其最新版本适用于本标准。</w:t>
      </w:r>
    </w:p>
    <w:p w14:paraId="16369594">
      <w:pPr>
        <w:pStyle w:val="16"/>
        <w:ind w:firstLine="480"/>
        <w:rPr>
          <w:rFonts w:hint="eastAsia" w:hAnsi="宋体"/>
          <w:sz w:val="24"/>
          <w:szCs w:val="24"/>
        </w:rPr>
      </w:pPr>
      <w:r>
        <w:rPr>
          <w:rFonts w:hint="eastAsia" w:hAnsi="宋体"/>
          <w:sz w:val="24"/>
          <w:szCs w:val="24"/>
        </w:rPr>
        <w:t>GB/T 23697-2009 个人理财 理财规划师的要求</w:t>
      </w:r>
    </w:p>
    <w:p w14:paraId="47151D71">
      <w:pPr>
        <w:pStyle w:val="16"/>
        <w:ind w:firstLine="480"/>
        <w:rPr>
          <w:rFonts w:hint="eastAsia" w:hAnsi="宋体"/>
          <w:sz w:val="24"/>
          <w:szCs w:val="24"/>
        </w:rPr>
      </w:pPr>
      <w:r>
        <w:rPr>
          <w:rFonts w:hint="eastAsia" w:hAnsi="宋体"/>
          <w:sz w:val="24"/>
          <w:szCs w:val="24"/>
        </w:rPr>
        <w:t>GB/T 32313-2015 商业银行个人理财服务规范</w:t>
      </w:r>
    </w:p>
    <w:p w14:paraId="10174741">
      <w:pPr>
        <w:pStyle w:val="16"/>
        <w:ind w:firstLine="480"/>
        <w:rPr>
          <w:rFonts w:hAnsi="宋体"/>
          <w:sz w:val="24"/>
          <w:szCs w:val="24"/>
        </w:rPr>
      </w:pPr>
      <w:r>
        <w:rPr>
          <w:rFonts w:hint="eastAsia" w:hAnsi="宋体"/>
          <w:sz w:val="24"/>
          <w:szCs w:val="24"/>
        </w:rPr>
        <w:t>GB/T 32317-2015 商业银行个人理财客户风险承受能力测评规范</w:t>
      </w:r>
    </w:p>
    <w:p w14:paraId="7D99E7DD">
      <w:pPr>
        <w:pStyle w:val="16"/>
        <w:ind w:firstLine="480"/>
        <w:rPr>
          <w:rFonts w:hint="eastAsia" w:hAnsi="宋体"/>
          <w:sz w:val="24"/>
          <w:szCs w:val="24"/>
        </w:rPr>
      </w:pPr>
      <w:r>
        <w:rPr>
          <w:rFonts w:hint="eastAsia" w:hAnsi="宋体"/>
          <w:sz w:val="24"/>
          <w:szCs w:val="24"/>
        </w:rPr>
        <w:t>GB/T 42339-2023 金融机构风险管理 术语</w:t>
      </w:r>
    </w:p>
    <w:p w14:paraId="11A6706B">
      <w:pPr>
        <w:pStyle w:val="17"/>
        <w:spacing w:beforeLines="0" w:afterLines="0"/>
        <w:ind w:left="0"/>
        <w:outlineLvl w:val="9"/>
        <w:rPr>
          <w:sz w:val="24"/>
          <w:szCs w:val="24"/>
        </w:rPr>
      </w:pPr>
      <w:bookmarkStart w:id="93" w:name="_Toc311472177"/>
      <w:bookmarkEnd w:id="93"/>
      <w:bookmarkStart w:id="94" w:name="_Toc315953473"/>
      <w:bookmarkStart w:id="95" w:name="_Toc5524"/>
      <w:bookmarkStart w:id="96" w:name="_Toc312058604"/>
      <w:bookmarkStart w:id="97" w:name="_Toc312058565"/>
      <w:bookmarkStart w:id="98" w:name="_Toc10449824"/>
      <w:bookmarkStart w:id="99" w:name="_Toc312063238"/>
      <w:bookmarkStart w:id="100" w:name="_Toc10448173"/>
      <w:bookmarkStart w:id="101" w:name="_Toc317597305"/>
      <w:bookmarkStart w:id="102" w:name="_Toc10449959"/>
      <w:bookmarkStart w:id="103" w:name="_Toc311705336"/>
      <w:bookmarkStart w:id="104" w:name="_Toc315953587"/>
      <w:bookmarkStart w:id="105" w:name="_Toc9206296"/>
      <w:bookmarkStart w:id="106" w:name="_Toc311743866"/>
      <w:bookmarkStart w:id="107" w:name="_Toc12269"/>
      <w:bookmarkStart w:id="108" w:name="_Toc311705225"/>
      <w:bookmarkStart w:id="109" w:name="_Toc10395655"/>
      <w:bookmarkStart w:id="110" w:name="_Toc11640"/>
      <w:bookmarkStart w:id="111" w:name="_Toc315966974"/>
      <w:bookmarkStart w:id="112" w:name="_Toc9461598"/>
      <w:bookmarkStart w:id="113" w:name="_Toc31034"/>
      <w:bookmarkStart w:id="114" w:name="_Toc17752"/>
      <w:bookmarkStart w:id="115" w:name="_Toc10449381"/>
      <w:bookmarkStart w:id="116" w:name="_Toc311745436"/>
      <w:bookmarkStart w:id="117" w:name="_Toc24789"/>
      <w:bookmarkStart w:id="118" w:name="_Toc9206520"/>
      <w:bookmarkStart w:id="119" w:name="_Toc311493695"/>
      <w:bookmarkStart w:id="120" w:name="_Toc311494304"/>
      <w:bookmarkStart w:id="121" w:name="_Toc77061345"/>
      <w:r>
        <w:rPr>
          <w:rFonts w:hint="eastAsia"/>
          <w:sz w:val="24"/>
          <w:szCs w:val="24"/>
        </w:rPr>
        <w:t>3</w:t>
      </w:r>
      <w:r>
        <w:rPr>
          <w:sz w:val="24"/>
          <w:szCs w:val="24"/>
        </w:rPr>
        <w:t xml:space="preserve">  </w:t>
      </w:r>
      <w:r>
        <w:rPr>
          <w:rFonts w:hint="eastAsia"/>
          <w:sz w:val="24"/>
          <w:szCs w:val="24"/>
        </w:rPr>
        <w:t>术语和定义</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sz w:val="24"/>
          <w:szCs w:val="24"/>
        </w:rPr>
        <w:t xml:space="preserve"> </w:t>
      </w:r>
    </w:p>
    <w:p w14:paraId="39337843">
      <w:pPr>
        <w:pStyle w:val="16"/>
        <w:ind w:firstLine="480" w:firstLineChars="0"/>
        <w:rPr>
          <w:rFonts w:hint="eastAsia" w:hAnsi="宋体"/>
          <w:sz w:val="24"/>
          <w:szCs w:val="24"/>
        </w:rPr>
      </w:pPr>
      <w:r>
        <w:rPr>
          <w:rFonts w:hint="eastAsia" w:hAnsi="宋体"/>
          <w:bCs/>
          <w:sz w:val="24"/>
          <w:szCs w:val="24"/>
        </w:rPr>
        <w:t>GB/T 36687-2018保险术语、GB/T 31596.2-2015（社会保险术语 第2部分：养老保险）、 GB/T 31596.4-2015（社会保险术语 第4部分：医疗保险）等界定的以及下列术语和定义适用于本标准。</w:t>
      </w:r>
    </w:p>
    <w:p w14:paraId="06996F72">
      <w:pPr>
        <w:pStyle w:val="15"/>
        <w:spacing w:beforeLines="0" w:afterLines="0"/>
        <w:ind w:left="0"/>
        <w:outlineLvl w:val="9"/>
        <w:rPr>
          <w:rFonts w:hint="eastAsia" w:hAnsi="宋体" w:eastAsia="宋体"/>
          <w:bCs/>
          <w:sz w:val="24"/>
          <w:szCs w:val="24"/>
        </w:rPr>
      </w:pPr>
      <w:bookmarkStart w:id="122" w:name="_Toc9206521"/>
      <w:bookmarkStart w:id="123" w:name="_Toc9206297"/>
      <w:bookmarkStart w:id="124" w:name="_Toc9461599"/>
      <w:bookmarkStart w:id="125" w:name="_Toc26928"/>
      <w:bookmarkStart w:id="126" w:name="_Toc10448174"/>
      <w:bookmarkStart w:id="127" w:name="_Toc10449960"/>
      <w:bookmarkStart w:id="128" w:name="_Toc10449825"/>
      <w:bookmarkStart w:id="129" w:name="_Toc10395656"/>
      <w:bookmarkStart w:id="130" w:name="_Toc18515"/>
      <w:bookmarkStart w:id="131" w:name="_Toc10449382"/>
      <w:r>
        <w:rPr>
          <w:sz w:val="24"/>
          <w:szCs w:val="24"/>
        </w:rPr>
        <w:t xml:space="preserve">3.1 </w:t>
      </w:r>
      <w:bookmarkEnd w:id="122"/>
      <w:bookmarkEnd w:id="123"/>
      <w:bookmarkEnd w:id="124"/>
      <w:r>
        <w:rPr>
          <w:sz w:val="24"/>
          <w:szCs w:val="24"/>
        </w:rPr>
        <w:t xml:space="preserve"> </w:t>
      </w:r>
      <w:r>
        <w:rPr>
          <w:rFonts w:hint="eastAsia" w:hAnsi="宋体" w:eastAsia="宋体"/>
          <w:b/>
          <w:sz w:val="24"/>
          <w:szCs w:val="24"/>
        </w:rPr>
        <w:t>保险</w:t>
      </w:r>
      <w:bookmarkEnd w:id="125"/>
      <w:bookmarkEnd w:id="126"/>
      <w:bookmarkEnd w:id="127"/>
      <w:bookmarkEnd w:id="128"/>
      <w:bookmarkEnd w:id="129"/>
      <w:bookmarkEnd w:id="130"/>
      <w:bookmarkEnd w:id="131"/>
      <w:bookmarkStart w:id="132" w:name="_Toc10449826"/>
      <w:bookmarkStart w:id="133" w:name="_Toc10449383"/>
      <w:bookmarkStart w:id="134" w:name="_Toc10449961"/>
      <w:bookmarkStart w:id="135" w:name="_Toc10448175"/>
      <w:bookmarkStart w:id="136" w:name="_Toc10395657"/>
      <w:r>
        <w:rPr>
          <w:rFonts w:hint="eastAsia" w:hAnsi="宋体" w:eastAsia="宋体"/>
          <w:b/>
          <w:sz w:val="24"/>
          <w:szCs w:val="24"/>
        </w:rPr>
        <w:t xml:space="preserve"> </w:t>
      </w:r>
      <w:r>
        <w:rPr>
          <w:rFonts w:hAnsi="宋体" w:eastAsia="宋体"/>
          <w:b/>
          <w:sz w:val="24"/>
          <w:szCs w:val="24"/>
        </w:rPr>
        <w:t>insurance</w:t>
      </w:r>
    </w:p>
    <w:p w14:paraId="4755185E">
      <w:pPr>
        <w:pStyle w:val="16"/>
        <w:ind w:firstLine="480"/>
        <w:rPr>
          <w:rFonts w:hint="eastAsia" w:hAnsi="宋体"/>
          <w:sz w:val="24"/>
          <w:szCs w:val="24"/>
        </w:rPr>
      </w:pPr>
      <w:r>
        <w:rPr>
          <w:rFonts w:hint="eastAsia" w:hAnsi="宋体"/>
          <w:sz w:val="24"/>
          <w:szCs w:val="24"/>
        </w:rPr>
        <w:t>是指投保人根据合同约定，向保险人支付保险费，保险人对于合同约定的可能发生的事故因其发生所造成的财产损失承担赔偿保险金责任，或者当被保险人死亡、伤残、疾病或者达到合同约定的年龄、期限等条件时承担给付保险金责任的商业保险行为。</w:t>
      </w:r>
    </w:p>
    <w:p w14:paraId="2694B195">
      <w:pPr>
        <w:pStyle w:val="16"/>
        <w:ind w:firstLine="482" w:firstLineChars="0"/>
        <w:rPr>
          <w:rFonts w:hint="eastAsia" w:hAnsi="宋体" w:cs="黑体"/>
          <w:b/>
          <w:bCs/>
          <w:kern w:val="2"/>
          <w:sz w:val="24"/>
          <w:szCs w:val="24"/>
        </w:rPr>
      </w:pPr>
      <w:r>
        <w:rPr>
          <w:rFonts w:hAnsi="宋体" w:cs="黑体"/>
          <w:b/>
          <w:bCs/>
          <w:kern w:val="2"/>
          <w:sz w:val="24"/>
          <w:szCs w:val="24"/>
        </w:rPr>
        <w:t>[GB/T 36687-2018，2.1]</w:t>
      </w:r>
    </w:p>
    <w:p w14:paraId="316D5608">
      <w:pPr>
        <w:pStyle w:val="15"/>
        <w:spacing w:beforeLines="0" w:afterLines="0"/>
        <w:ind w:left="0"/>
        <w:outlineLvl w:val="9"/>
        <w:rPr>
          <w:rFonts w:hint="eastAsia" w:hAnsi="宋体" w:eastAsia="宋体"/>
          <w:bCs/>
          <w:sz w:val="24"/>
          <w:szCs w:val="24"/>
        </w:rPr>
      </w:pPr>
      <w:bookmarkStart w:id="137" w:name="_Toc28853"/>
      <w:bookmarkStart w:id="138" w:name="_Toc1051"/>
      <w:r>
        <w:rPr>
          <w:rFonts w:hint="eastAsia" w:hAnsi="宋体" w:eastAsia="宋体"/>
          <w:bCs/>
          <w:sz w:val="24"/>
          <w:szCs w:val="24"/>
        </w:rPr>
        <w:t>3</w:t>
      </w:r>
      <w:r>
        <w:rPr>
          <w:rFonts w:hAnsi="宋体" w:eastAsia="宋体"/>
          <w:bCs/>
          <w:sz w:val="24"/>
          <w:szCs w:val="24"/>
        </w:rPr>
        <w:t xml:space="preserve">.2  </w:t>
      </w:r>
      <w:bookmarkEnd w:id="132"/>
      <w:bookmarkEnd w:id="133"/>
      <w:bookmarkEnd w:id="134"/>
      <w:bookmarkEnd w:id="135"/>
      <w:bookmarkEnd w:id="136"/>
      <w:bookmarkEnd w:id="137"/>
      <w:bookmarkEnd w:id="138"/>
      <w:r>
        <w:rPr>
          <w:rFonts w:hint="eastAsia" w:hAnsi="黑体"/>
          <w:b/>
          <w:bCs/>
          <w:kern w:val="2"/>
          <w:sz w:val="24"/>
          <w:szCs w:val="24"/>
        </w:rPr>
        <w:t>财务风险容忍度 financial risk tolerance</w:t>
      </w:r>
    </w:p>
    <w:p w14:paraId="4A8A2D86">
      <w:pPr>
        <w:pStyle w:val="16"/>
        <w:ind w:firstLine="480"/>
        <w:rPr>
          <w:rFonts w:hint="eastAsia" w:hAnsi="宋体"/>
          <w:sz w:val="24"/>
          <w:szCs w:val="24"/>
        </w:rPr>
      </w:pPr>
      <w:r>
        <w:rPr>
          <w:rFonts w:hint="eastAsia" w:hAnsi="宋体"/>
          <w:sz w:val="24"/>
          <w:szCs w:val="24"/>
        </w:rPr>
        <w:t>是指是指面向服务人群（家庭），为其可投资资产的保全、增值、配置诉求而提供一系列金融产品和服务。</w:t>
      </w:r>
    </w:p>
    <w:p w14:paraId="27746B22">
      <w:pPr>
        <w:pStyle w:val="16"/>
        <w:ind w:firstLine="482" w:firstLineChars="0"/>
        <w:rPr>
          <w:rFonts w:hint="eastAsia" w:hAnsi="宋体" w:cs="黑体"/>
          <w:b/>
          <w:bCs/>
          <w:kern w:val="2"/>
          <w:sz w:val="24"/>
          <w:szCs w:val="24"/>
        </w:rPr>
      </w:pPr>
      <w:r>
        <w:rPr>
          <w:rFonts w:hAnsi="宋体" w:cs="黑体"/>
          <w:b/>
          <w:bCs/>
          <w:kern w:val="2"/>
          <w:sz w:val="24"/>
          <w:szCs w:val="24"/>
        </w:rPr>
        <w:t>[GB/T 23697-2009，</w:t>
      </w:r>
      <w:r>
        <w:rPr>
          <w:rFonts w:hint="eastAsia" w:hAnsi="宋体" w:cs="黑体"/>
          <w:b/>
          <w:bCs/>
          <w:kern w:val="2"/>
          <w:sz w:val="24"/>
          <w:szCs w:val="24"/>
        </w:rPr>
        <w:t>3</w:t>
      </w:r>
      <w:r>
        <w:rPr>
          <w:rFonts w:hAnsi="宋体" w:cs="黑体"/>
          <w:b/>
          <w:bCs/>
          <w:kern w:val="2"/>
          <w:sz w:val="24"/>
          <w:szCs w:val="24"/>
        </w:rPr>
        <w:t>.1</w:t>
      </w:r>
      <w:r>
        <w:rPr>
          <w:rFonts w:hint="eastAsia" w:hAnsi="宋体" w:cs="黑体"/>
          <w:b/>
          <w:bCs/>
          <w:kern w:val="2"/>
          <w:sz w:val="24"/>
          <w:szCs w:val="24"/>
        </w:rPr>
        <w:t>2</w:t>
      </w:r>
      <w:r>
        <w:rPr>
          <w:rFonts w:hAnsi="宋体" w:cs="黑体"/>
          <w:b/>
          <w:bCs/>
          <w:kern w:val="2"/>
          <w:sz w:val="24"/>
          <w:szCs w:val="24"/>
        </w:rPr>
        <w:t>]</w:t>
      </w:r>
    </w:p>
    <w:p w14:paraId="75D3EE7A">
      <w:pPr>
        <w:pStyle w:val="15"/>
        <w:spacing w:beforeLines="0" w:afterLines="0"/>
        <w:ind w:left="0"/>
        <w:outlineLvl w:val="9"/>
        <w:rPr>
          <w:rFonts w:hint="eastAsia" w:hAnsi="宋体" w:eastAsia="宋体"/>
          <w:bCs/>
          <w:sz w:val="24"/>
          <w:szCs w:val="24"/>
        </w:rPr>
      </w:pPr>
      <w:r>
        <w:rPr>
          <w:rFonts w:hint="eastAsia" w:hAnsi="宋体" w:eastAsia="宋体"/>
          <w:bCs/>
          <w:sz w:val="24"/>
          <w:szCs w:val="24"/>
        </w:rPr>
        <w:t>3</w:t>
      </w:r>
      <w:r>
        <w:rPr>
          <w:rFonts w:hAnsi="宋体" w:eastAsia="宋体"/>
          <w:bCs/>
          <w:sz w:val="24"/>
          <w:szCs w:val="24"/>
        </w:rPr>
        <w:t xml:space="preserve">.3  </w:t>
      </w:r>
      <w:r>
        <w:rPr>
          <w:rFonts w:hint="eastAsia" w:hAnsi="黑体"/>
          <w:b/>
          <w:bCs/>
          <w:kern w:val="2"/>
          <w:sz w:val="24"/>
          <w:szCs w:val="24"/>
        </w:rPr>
        <w:t>理财规划书 personal financial plan</w:t>
      </w:r>
    </w:p>
    <w:p w14:paraId="5E70BA40">
      <w:pPr>
        <w:pStyle w:val="16"/>
        <w:ind w:firstLine="480"/>
        <w:rPr>
          <w:rFonts w:hint="eastAsia" w:hAnsi="宋体"/>
          <w:sz w:val="24"/>
          <w:szCs w:val="24"/>
        </w:rPr>
      </w:pPr>
      <w:r>
        <w:rPr>
          <w:rFonts w:hint="eastAsia" w:hAnsi="宋体"/>
          <w:sz w:val="24"/>
          <w:szCs w:val="24"/>
        </w:rPr>
        <w:t>用来说明客户如何组织和管理其全部或部分个人财务事件，以满足目前或未来的个人目标、需要和优先权的文档。</w:t>
      </w:r>
    </w:p>
    <w:p w14:paraId="25A613E0">
      <w:pPr>
        <w:pStyle w:val="16"/>
        <w:ind w:firstLine="482" w:firstLineChars="0"/>
        <w:rPr>
          <w:rFonts w:hint="eastAsia" w:hAnsi="宋体" w:cs="黑体"/>
          <w:b/>
          <w:bCs/>
          <w:kern w:val="2"/>
          <w:sz w:val="24"/>
          <w:szCs w:val="24"/>
        </w:rPr>
      </w:pPr>
      <w:r>
        <w:rPr>
          <w:rFonts w:hAnsi="宋体" w:cs="黑体"/>
          <w:b/>
          <w:bCs/>
          <w:kern w:val="2"/>
          <w:sz w:val="24"/>
          <w:szCs w:val="24"/>
        </w:rPr>
        <w:t>[GB/T 23697-2009，</w:t>
      </w:r>
      <w:r>
        <w:rPr>
          <w:rFonts w:hint="eastAsia" w:hAnsi="宋体" w:cs="黑体"/>
          <w:b/>
          <w:bCs/>
          <w:kern w:val="2"/>
          <w:sz w:val="24"/>
          <w:szCs w:val="24"/>
        </w:rPr>
        <w:t>3</w:t>
      </w:r>
      <w:r>
        <w:rPr>
          <w:rFonts w:hAnsi="宋体" w:cs="黑体"/>
          <w:b/>
          <w:bCs/>
          <w:kern w:val="2"/>
          <w:sz w:val="24"/>
          <w:szCs w:val="24"/>
        </w:rPr>
        <w:t>.1</w:t>
      </w:r>
      <w:r>
        <w:rPr>
          <w:rFonts w:hint="eastAsia" w:hAnsi="宋体" w:cs="黑体"/>
          <w:b/>
          <w:bCs/>
          <w:kern w:val="2"/>
          <w:sz w:val="24"/>
          <w:szCs w:val="24"/>
        </w:rPr>
        <w:t>5</w:t>
      </w:r>
      <w:r>
        <w:rPr>
          <w:rFonts w:hAnsi="宋体" w:cs="黑体"/>
          <w:b/>
          <w:bCs/>
          <w:kern w:val="2"/>
          <w:sz w:val="24"/>
          <w:szCs w:val="24"/>
        </w:rPr>
        <w:t>]</w:t>
      </w:r>
    </w:p>
    <w:p w14:paraId="6F553E0E">
      <w:pPr>
        <w:pStyle w:val="15"/>
        <w:spacing w:beforeLines="0" w:afterLines="0"/>
        <w:ind w:left="0"/>
        <w:outlineLvl w:val="9"/>
        <w:rPr>
          <w:rFonts w:hint="eastAsia" w:hAnsi="宋体" w:eastAsia="宋体"/>
          <w:bCs/>
          <w:sz w:val="24"/>
          <w:szCs w:val="24"/>
        </w:rPr>
      </w:pPr>
      <w:r>
        <w:rPr>
          <w:rFonts w:hint="eastAsia" w:hAnsi="宋体" w:eastAsia="宋体"/>
          <w:bCs/>
          <w:sz w:val="24"/>
          <w:szCs w:val="24"/>
        </w:rPr>
        <w:t>3</w:t>
      </w:r>
      <w:r>
        <w:rPr>
          <w:rFonts w:hAnsi="宋体" w:eastAsia="宋体"/>
          <w:bCs/>
          <w:sz w:val="24"/>
          <w:szCs w:val="24"/>
        </w:rPr>
        <w:t xml:space="preserve">.4  </w:t>
      </w:r>
      <w:r>
        <w:rPr>
          <w:rFonts w:hint="eastAsia" w:hAnsi="黑体"/>
          <w:b/>
          <w:bCs/>
          <w:kern w:val="2"/>
          <w:sz w:val="24"/>
          <w:szCs w:val="24"/>
        </w:rPr>
        <w:t>理财规划 personal</w:t>
      </w:r>
      <w:r>
        <w:rPr>
          <w:rFonts w:hAnsi="黑体"/>
          <w:b/>
          <w:bCs/>
          <w:kern w:val="2"/>
          <w:sz w:val="24"/>
          <w:szCs w:val="24"/>
        </w:rPr>
        <w:t xml:space="preserve"> financial planning</w:t>
      </w:r>
    </w:p>
    <w:p w14:paraId="343A9C71">
      <w:pPr>
        <w:pStyle w:val="16"/>
        <w:ind w:firstLine="480"/>
        <w:rPr>
          <w:rFonts w:hint="eastAsia" w:hAnsi="宋体"/>
          <w:sz w:val="24"/>
          <w:szCs w:val="24"/>
        </w:rPr>
      </w:pPr>
      <w:r>
        <w:rPr>
          <w:rFonts w:hint="eastAsia" w:hAnsi="宋体"/>
          <w:sz w:val="24"/>
          <w:szCs w:val="24"/>
        </w:rPr>
        <w:t>是客户达到其个人理财目标的过程。</w:t>
      </w:r>
    </w:p>
    <w:p w14:paraId="4790708B">
      <w:pPr>
        <w:pStyle w:val="16"/>
        <w:ind w:firstLine="482" w:firstLineChars="0"/>
        <w:rPr>
          <w:rFonts w:hint="eastAsia" w:hAnsi="宋体" w:cs="黑体"/>
          <w:b/>
          <w:bCs/>
          <w:kern w:val="2"/>
          <w:sz w:val="24"/>
          <w:szCs w:val="24"/>
        </w:rPr>
      </w:pPr>
      <w:r>
        <w:rPr>
          <w:rFonts w:hAnsi="宋体" w:cs="黑体"/>
          <w:b/>
          <w:bCs/>
          <w:kern w:val="2"/>
          <w:sz w:val="24"/>
          <w:szCs w:val="24"/>
        </w:rPr>
        <w:t>[GB/T 23697-2009，</w:t>
      </w:r>
      <w:r>
        <w:rPr>
          <w:rFonts w:hint="eastAsia" w:hAnsi="宋体" w:cs="黑体"/>
          <w:b/>
          <w:bCs/>
          <w:kern w:val="2"/>
          <w:sz w:val="24"/>
          <w:szCs w:val="24"/>
        </w:rPr>
        <w:t>3</w:t>
      </w:r>
      <w:r>
        <w:rPr>
          <w:rFonts w:hAnsi="宋体" w:cs="黑体"/>
          <w:b/>
          <w:bCs/>
          <w:kern w:val="2"/>
          <w:sz w:val="24"/>
          <w:szCs w:val="24"/>
        </w:rPr>
        <w:t>.16]</w:t>
      </w:r>
    </w:p>
    <w:p w14:paraId="0B3A6801">
      <w:pPr>
        <w:pStyle w:val="15"/>
        <w:spacing w:beforeLines="0" w:afterLines="0"/>
        <w:ind w:left="0"/>
        <w:outlineLvl w:val="9"/>
        <w:rPr>
          <w:rFonts w:hint="eastAsia" w:hAnsi="宋体" w:eastAsia="宋体"/>
          <w:bCs/>
          <w:sz w:val="24"/>
          <w:szCs w:val="24"/>
        </w:rPr>
      </w:pPr>
      <w:r>
        <w:rPr>
          <w:rFonts w:hint="eastAsia" w:hAnsi="宋体" w:eastAsia="宋体"/>
          <w:bCs/>
          <w:sz w:val="24"/>
          <w:szCs w:val="24"/>
        </w:rPr>
        <w:t>3</w:t>
      </w:r>
      <w:r>
        <w:rPr>
          <w:rFonts w:hAnsi="宋体" w:eastAsia="宋体"/>
          <w:bCs/>
          <w:sz w:val="24"/>
          <w:szCs w:val="24"/>
        </w:rPr>
        <w:t xml:space="preserve">.5  </w:t>
      </w:r>
      <w:r>
        <w:rPr>
          <w:rFonts w:hint="eastAsia" w:hAnsi="黑体"/>
          <w:b/>
          <w:bCs/>
          <w:kern w:val="2"/>
          <w:sz w:val="24"/>
          <w:szCs w:val="24"/>
        </w:rPr>
        <w:t>商业银行 commercial bank</w:t>
      </w:r>
    </w:p>
    <w:p w14:paraId="5AB4AA3B">
      <w:pPr>
        <w:pStyle w:val="16"/>
        <w:ind w:firstLine="480"/>
        <w:rPr>
          <w:rFonts w:hint="eastAsia" w:hAnsi="宋体"/>
          <w:sz w:val="24"/>
          <w:szCs w:val="24"/>
        </w:rPr>
      </w:pPr>
      <w:r>
        <w:rPr>
          <w:rFonts w:hint="eastAsia" w:hAnsi="宋体"/>
          <w:sz w:val="24"/>
          <w:szCs w:val="24"/>
        </w:rPr>
        <w:t>经国务院银行监督管理机构依法批准设立，吸收公共存款、发放贷款、办理结算等业务的金融机构。</w:t>
      </w:r>
    </w:p>
    <w:p w14:paraId="5FF3784B">
      <w:pPr>
        <w:pStyle w:val="16"/>
        <w:ind w:firstLine="482" w:firstLineChars="0"/>
        <w:rPr>
          <w:rFonts w:hAnsi="宋体" w:cs="黑体"/>
          <w:b/>
          <w:bCs/>
          <w:kern w:val="2"/>
          <w:sz w:val="24"/>
          <w:szCs w:val="24"/>
        </w:rPr>
      </w:pPr>
      <w:r>
        <w:rPr>
          <w:rFonts w:hAnsi="宋体" w:cs="黑体"/>
          <w:b/>
          <w:bCs/>
          <w:kern w:val="2"/>
          <w:sz w:val="24"/>
          <w:szCs w:val="24"/>
        </w:rPr>
        <w:t>[GB/T 42339-2023</w:t>
      </w:r>
      <w:r>
        <w:rPr>
          <w:rFonts w:hint="eastAsia" w:hAnsi="宋体" w:cs="黑体"/>
          <w:b/>
          <w:bCs/>
          <w:kern w:val="2"/>
          <w:sz w:val="24"/>
          <w:szCs w:val="24"/>
        </w:rPr>
        <w:t>，3.2.3</w:t>
      </w:r>
      <w:r>
        <w:rPr>
          <w:rFonts w:hAnsi="宋体" w:cs="黑体"/>
          <w:b/>
          <w:bCs/>
          <w:kern w:val="2"/>
          <w:sz w:val="24"/>
          <w:szCs w:val="24"/>
        </w:rPr>
        <w:t>]</w:t>
      </w:r>
    </w:p>
    <w:p w14:paraId="14DE757C">
      <w:pPr>
        <w:pStyle w:val="15"/>
        <w:spacing w:beforeLines="0" w:afterLines="0"/>
        <w:ind w:left="0"/>
        <w:outlineLvl w:val="9"/>
        <w:rPr>
          <w:rFonts w:hint="eastAsia" w:hAnsi="宋体" w:eastAsia="宋体"/>
          <w:bCs/>
          <w:sz w:val="24"/>
          <w:szCs w:val="24"/>
        </w:rPr>
      </w:pPr>
      <w:r>
        <w:rPr>
          <w:rFonts w:hint="eastAsia" w:hAnsi="宋体" w:eastAsia="宋体"/>
          <w:bCs/>
          <w:sz w:val="24"/>
          <w:szCs w:val="24"/>
        </w:rPr>
        <w:t>3</w:t>
      </w:r>
      <w:r>
        <w:rPr>
          <w:rFonts w:hAnsi="宋体" w:eastAsia="宋体"/>
          <w:bCs/>
          <w:sz w:val="24"/>
          <w:szCs w:val="24"/>
        </w:rPr>
        <w:t>.</w:t>
      </w:r>
      <w:r>
        <w:rPr>
          <w:rFonts w:hint="eastAsia" w:hAnsi="宋体" w:eastAsia="宋体"/>
          <w:bCs/>
          <w:sz w:val="24"/>
          <w:szCs w:val="24"/>
        </w:rPr>
        <w:t>6</w:t>
      </w:r>
      <w:r>
        <w:rPr>
          <w:rFonts w:hAnsi="宋体" w:eastAsia="宋体"/>
          <w:bCs/>
          <w:sz w:val="24"/>
          <w:szCs w:val="24"/>
        </w:rPr>
        <w:t xml:space="preserve">  </w:t>
      </w:r>
      <w:r>
        <w:rPr>
          <w:rFonts w:hint="eastAsia" w:hAnsi="黑体"/>
          <w:b/>
          <w:bCs/>
          <w:kern w:val="2"/>
          <w:sz w:val="24"/>
          <w:szCs w:val="24"/>
        </w:rPr>
        <w:t>风险评估 risk assessment</w:t>
      </w:r>
    </w:p>
    <w:p w14:paraId="354DDB22">
      <w:pPr>
        <w:pStyle w:val="16"/>
        <w:ind w:firstLine="480"/>
        <w:rPr>
          <w:rFonts w:hint="eastAsia" w:hAnsi="宋体"/>
          <w:sz w:val="24"/>
          <w:szCs w:val="24"/>
        </w:rPr>
      </w:pPr>
      <w:r>
        <w:rPr>
          <w:rFonts w:hint="eastAsia" w:hAnsi="宋体"/>
          <w:sz w:val="24"/>
          <w:szCs w:val="24"/>
        </w:rPr>
        <w:t>在风险识别的基础上，通过对所收集的资料进行分析，运用定性与定量的方法，估计和预测风险发生的概率和损失程度的过程。</w:t>
      </w:r>
    </w:p>
    <w:p w14:paraId="06DC6CF7">
      <w:pPr>
        <w:pStyle w:val="16"/>
        <w:ind w:firstLine="482" w:firstLineChars="0"/>
        <w:rPr>
          <w:rFonts w:hAnsi="宋体" w:cs="黑体"/>
          <w:b/>
          <w:bCs/>
          <w:kern w:val="2"/>
          <w:sz w:val="24"/>
          <w:szCs w:val="24"/>
        </w:rPr>
      </w:pPr>
      <w:r>
        <w:rPr>
          <w:rFonts w:hAnsi="宋体" w:cs="黑体"/>
          <w:b/>
          <w:bCs/>
          <w:kern w:val="2"/>
          <w:sz w:val="24"/>
          <w:szCs w:val="24"/>
        </w:rPr>
        <w:t>[GB/T 42339-2023</w:t>
      </w:r>
      <w:r>
        <w:rPr>
          <w:rFonts w:hint="eastAsia" w:hAnsi="宋体" w:cs="黑体"/>
          <w:b/>
          <w:bCs/>
          <w:kern w:val="2"/>
          <w:sz w:val="24"/>
          <w:szCs w:val="24"/>
        </w:rPr>
        <w:t>，4.3.10</w:t>
      </w:r>
      <w:r>
        <w:rPr>
          <w:rFonts w:hAnsi="宋体" w:cs="黑体"/>
          <w:b/>
          <w:bCs/>
          <w:kern w:val="2"/>
          <w:sz w:val="24"/>
          <w:szCs w:val="24"/>
        </w:rPr>
        <w:t>]</w:t>
      </w:r>
    </w:p>
    <w:p w14:paraId="0AD2FAA2">
      <w:pPr>
        <w:pStyle w:val="15"/>
        <w:spacing w:beforeLines="0" w:afterLines="0"/>
        <w:ind w:left="0"/>
        <w:outlineLvl w:val="9"/>
        <w:rPr>
          <w:rFonts w:hint="eastAsia" w:hAnsi="宋体" w:eastAsia="宋体"/>
          <w:bCs/>
          <w:sz w:val="24"/>
          <w:szCs w:val="24"/>
        </w:rPr>
      </w:pPr>
      <w:r>
        <w:rPr>
          <w:rFonts w:hint="eastAsia" w:hAnsi="宋体" w:eastAsia="宋体"/>
          <w:bCs/>
          <w:sz w:val="24"/>
          <w:szCs w:val="24"/>
        </w:rPr>
        <w:t>3</w:t>
      </w:r>
      <w:r>
        <w:rPr>
          <w:rFonts w:hAnsi="宋体" w:eastAsia="宋体"/>
          <w:bCs/>
          <w:sz w:val="24"/>
          <w:szCs w:val="24"/>
        </w:rPr>
        <w:t>.</w:t>
      </w:r>
      <w:r>
        <w:rPr>
          <w:rFonts w:hint="eastAsia" w:hAnsi="宋体" w:eastAsia="宋体"/>
          <w:bCs/>
          <w:sz w:val="24"/>
          <w:szCs w:val="24"/>
        </w:rPr>
        <w:t>7</w:t>
      </w:r>
      <w:r>
        <w:rPr>
          <w:rFonts w:hAnsi="宋体" w:eastAsia="宋体"/>
          <w:bCs/>
          <w:sz w:val="24"/>
          <w:szCs w:val="24"/>
        </w:rPr>
        <w:t xml:space="preserve">  </w:t>
      </w:r>
      <w:r>
        <w:rPr>
          <w:rFonts w:hint="eastAsia" w:hAnsi="黑体"/>
          <w:b/>
          <w:bCs/>
          <w:kern w:val="2"/>
          <w:sz w:val="24"/>
          <w:szCs w:val="24"/>
        </w:rPr>
        <w:t>风险预防risk prevention</w:t>
      </w:r>
    </w:p>
    <w:p w14:paraId="5AE5CC53">
      <w:pPr>
        <w:pStyle w:val="16"/>
        <w:ind w:firstLine="480"/>
        <w:rPr>
          <w:rFonts w:hint="eastAsia" w:hAnsi="宋体"/>
          <w:sz w:val="24"/>
          <w:szCs w:val="24"/>
        </w:rPr>
      </w:pPr>
      <w:r>
        <w:rPr>
          <w:rFonts w:hint="eastAsia" w:hAnsi="宋体"/>
          <w:sz w:val="24"/>
          <w:szCs w:val="24"/>
        </w:rPr>
        <w:t>在损失发生前为了消除或减少可能引发损失的各种因素而采取的一种风险处理方式。</w:t>
      </w:r>
    </w:p>
    <w:p w14:paraId="3CDC8430">
      <w:pPr>
        <w:pStyle w:val="16"/>
        <w:ind w:firstLine="482" w:firstLineChars="0"/>
        <w:rPr>
          <w:rFonts w:hint="eastAsia" w:hAnsi="宋体" w:cs="黑体"/>
          <w:b/>
          <w:bCs/>
          <w:kern w:val="2"/>
          <w:sz w:val="24"/>
          <w:szCs w:val="24"/>
        </w:rPr>
      </w:pPr>
      <w:r>
        <w:rPr>
          <w:rFonts w:hAnsi="宋体" w:cs="黑体"/>
          <w:b/>
          <w:bCs/>
          <w:kern w:val="2"/>
          <w:sz w:val="24"/>
          <w:szCs w:val="24"/>
        </w:rPr>
        <w:t>[GB/T 42339-2023</w:t>
      </w:r>
      <w:r>
        <w:rPr>
          <w:rFonts w:hint="eastAsia" w:hAnsi="宋体" w:cs="黑体"/>
          <w:b/>
          <w:bCs/>
          <w:kern w:val="2"/>
          <w:sz w:val="24"/>
          <w:szCs w:val="24"/>
        </w:rPr>
        <w:t>，4.3.19</w:t>
      </w:r>
      <w:r>
        <w:rPr>
          <w:rFonts w:hAnsi="宋体" w:cs="黑体"/>
          <w:b/>
          <w:bCs/>
          <w:kern w:val="2"/>
          <w:sz w:val="24"/>
          <w:szCs w:val="24"/>
        </w:rPr>
        <w:t>]</w:t>
      </w:r>
    </w:p>
    <w:p w14:paraId="40764915">
      <w:pPr>
        <w:pStyle w:val="16"/>
        <w:ind w:firstLine="0" w:firstLineChars="0"/>
        <w:rPr>
          <w:rFonts w:hint="eastAsia" w:hAnsi="宋体" w:cs="黑体"/>
          <w:b/>
          <w:bCs/>
          <w:kern w:val="2"/>
          <w:sz w:val="24"/>
          <w:szCs w:val="24"/>
        </w:rPr>
      </w:pPr>
    </w:p>
    <w:p w14:paraId="1A5AAD70">
      <w:pPr>
        <w:pStyle w:val="17"/>
        <w:spacing w:beforeLines="0" w:afterLines="0"/>
        <w:ind w:left="0"/>
        <w:outlineLvl w:val="9"/>
        <w:rPr>
          <w:sz w:val="24"/>
          <w:szCs w:val="24"/>
        </w:rPr>
      </w:pPr>
      <w:bookmarkStart w:id="139" w:name="_Toc10395658"/>
      <w:bookmarkStart w:id="140" w:name="_Toc26358"/>
      <w:bookmarkStart w:id="141" w:name="_Toc9206523"/>
      <w:bookmarkStart w:id="142" w:name="_Toc10449962"/>
      <w:bookmarkStart w:id="143" w:name="_Toc10448176"/>
      <w:bookmarkStart w:id="144" w:name="_Toc9206299"/>
      <w:bookmarkStart w:id="145" w:name="_Toc10449827"/>
      <w:bookmarkStart w:id="146" w:name="_Toc10449384"/>
      <w:bookmarkStart w:id="147" w:name="_Toc26709"/>
      <w:bookmarkStart w:id="148" w:name="_Toc18244"/>
      <w:bookmarkStart w:id="149" w:name="_Toc27421"/>
      <w:bookmarkStart w:id="150" w:name="_Toc21708"/>
      <w:bookmarkStart w:id="151" w:name="_Toc9461601"/>
      <w:bookmarkStart w:id="152" w:name="_Toc3604"/>
      <w:bookmarkStart w:id="153" w:name="_Toc77061346"/>
      <w:r>
        <w:rPr>
          <w:rFonts w:hint="eastAsia"/>
          <w:sz w:val="24"/>
          <w:szCs w:val="24"/>
        </w:rPr>
        <w:t xml:space="preserve">4 </w:t>
      </w:r>
      <w:r>
        <w:rPr>
          <w:sz w:val="24"/>
          <w:szCs w:val="24"/>
        </w:rPr>
        <w:t xml:space="preserve"> </w:t>
      </w:r>
      <w:r>
        <w:rPr>
          <w:rFonts w:hint="eastAsia"/>
          <w:sz w:val="24"/>
          <w:szCs w:val="24"/>
        </w:rPr>
        <w:t>适用院校专业</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23BC7383">
      <w:pPr>
        <w:ind w:firstLine="480" w:firstLineChars="200"/>
        <w:rPr>
          <w:rFonts w:hint="eastAsia" w:hAnsi="仿宋"/>
          <w:bCs/>
        </w:rPr>
      </w:pPr>
      <w:bookmarkStart w:id="154" w:name="_Hlk99011586"/>
      <w:bookmarkStart w:id="155" w:name="_Hlk99011592"/>
      <w:bookmarkStart w:id="156" w:name="_Toc9206300"/>
      <w:bookmarkStart w:id="157" w:name="_Toc10448177"/>
      <w:bookmarkStart w:id="158" w:name="_Toc10449385"/>
      <w:bookmarkStart w:id="159" w:name="_Toc9461602"/>
      <w:bookmarkStart w:id="160" w:name="_Toc10449828"/>
      <w:bookmarkStart w:id="161" w:name="_Toc10395659"/>
      <w:bookmarkStart w:id="162" w:name="_Toc9206524"/>
      <w:bookmarkStart w:id="163" w:name="_Toc10449963"/>
      <w:bookmarkStart w:id="164" w:name="_Toc22022"/>
      <w:bookmarkStart w:id="165" w:name="_Toc77061347"/>
      <w:bookmarkStart w:id="166" w:name="_Toc653"/>
      <w:bookmarkStart w:id="167" w:name="_Toc8352"/>
      <w:bookmarkStart w:id="168" w:name="_Toc17125"/>
      <w:bookmarkStart w:id="169" w:name="_Toc29709"/>
      <w:bookmarkStart w:id="170" w:name="_Toc25052"/>
      <w:r>
        <w:rPr>
          <w:rFonts w:hint="eastAsia" w:cs="Times New Roman"/>
        </w:rPr>
        <w:t>中等职业学校：</w:t>
      </w:r>
      <w:r>
        <w:rPr>
          <w:rFonts w:hint="eastAsia" w:hAnsi="仿宋"/>
          <w:bCs/>
        </w:rPr>
        <w:t>会计事务、金融事务、纳税事务、统计事务、市场营销、电子商务、国际商务、网络营销、客户信息服务、计算机应用、计算机网络技术等专业。</w:t>
      </w:r>
    </w:p>
    <w:p w14:paraId="0FA8298E">
      <w:pPr>
        <w:ind w:firstLine="480" w:firstLineChars="200"/>
        <w:rPr>
          <w:rFonts w:hint="eastAsia" w:cs="Times New Roman"/>
        </w:rPr>
      </w:pPr>
      <w:r>
        <w:rPr>
          <w:rFonts w:hint="eastAsia" w:cs="Times New Roman"/>
        </w:rPr>
        <w:t>高等职业学校：</w:t>
      </w:r>
      <w:r>
        <w:rPr>
          <w:rFonts w:hint="eastAsia" w:hAnsi="仿宋"/>
          <w:bCs/>
        </w:rPr>
        <w:t>资产评估与管理、财税大数据应用、金融服务与管理、金融科技应用、保险实务、信用管理、财富管理、证券实务、国际金融、农村金融、大数据与财务管理、大数据与会计、国际经济与贸易、国际商务、工商企业管理、计算机应用技术、人工智能技术应用、区块链技术应用等专业。</w:t>
      </w:r>
    </w:p>
    <w:p w14:paraId="414EF292">
      <w:pPr>
        <w:ind w:firstLine="480" w:firstLineChars="200"/>
        <w:rPr>
          <w:rFonts w:hint="eastAsia" w:hAnsi="仿宋"/>
          <w:bCs/>
        </w:rPr>
      </w:pPr>
      <w:r>
        <w:rPr>
          <w:rFonts w:hint="eastAsia" w:cs="Times New Roman"/>
        </w:rPr>
        <w:t>应用型本科学校：</w:t>
      </w:r>
      <w:r>
        <w:rPr>
          <w:rFonts w:hint="eastAsia" w:hAnsi="仿宋"/>
          <w:bCs/>
        </w:rPr>
        <w:t>经济学、商务经济学、金融学、金融工程、保险学、投资学、金融数学、信用管理、国际经济与贸易、电子商务、工商管理、市场营销、会计学、财务管理、国际商务等专业。</w:t>
      </w:r>
    </w:p>
    <w:p w14:paraId="0CBC978B">
      <w:pPr>
        <w:ind w:firstLine="480" w:firstLineChars="200"/>
        <w:rPr>
          <w:rFonts w:hint="eastAsia" w:hAnsi="仿宋"/>
          <w:bCs/>
        </w:rPr>
      </w:pPr>
      <w:r>
        <w:rPr>
          <w:rFonts w:hint="eastAsia" w:hAnsi="仿宋"/>
          <w:bCs/>
        </w:rPr>
        <w:t>高等职业教育本科学校：</w:t>
      </w:r>
      <w:bookmarkEnd w:id="154"/>
      <w:r>
        <w:rPr>
          <w:rFonts w:hint="eastAsia" w:hAnsi="仿宋"/>
          <w:bCs/>
        </w:rPr>
        <w:t>经济学、商务经济学、金融学、金融工程、保险学、投资学、金融数学、信用管理等专业。</w:t>
      </w:r>
    </w:p>
    <w:bookmarkEnd w:id="155"/>
    <w:p w14:paraId="3A0E746E">
      <w:pPr>
        <w:pStyle w:val="17"/>
        <w:spacing w:beforeLines="0" w:afterLines="0"/>
        <w:ind w:left="0"/>
        <w:outlineLvl w:val="9"/>
        <w:rPr>
          <w:sz w:val="24"/>
          <w:szCs w:val="24"/>
        </w:rPr>
      </w:pPr>
      <w:r>
        <w:rPr>
          <w:rFonts w:hint="eastAsia"/>
          <w:sz w:val="24"/>
          <w:szCs w:val="24"/>
        </w:rPr>
        <w:t xml:space="preserve">5 </w:t>
      </w:r>
      <w:r>
        <w:rPr>
          <w:sz w:val="24"/>
          <w:szCs w:val="24"/>
        </w:rPr>
        <w:t xml:space="preserve"> </w:t>
      </w:r>
      <w:r>
        <w:rPr>
          <w:rFonts w:hint="eastAsia"/>
          <w:sz w:val="24"/>
          <w:szCs w:val="24"/>
        </w:rPr>
        <w:t>面向职业岗位</w:t>
      </w:r>
      <w:bookmarkEnd w:id="156"/>
      <w:bookmarkEnd w:id="157"/>
      <w:bookmarkEnd w:id="158"/>
      <w:bookmarkEnd w:id="159"/>
      <w:bookmarkEnd w:id="160"/>
      <w:bookmarkEnd w:id="161"/>
      <w:bookmarkEnd w:id="162"/>
      <w:bookmarkEnd w:id="163"/>
      <w:r>
        <w:rPr>
          <w:rFonts w:hint="eastAsia"/>
          <w:sz w:val="24"/>
          <w:szCs w:val="24"/>
        </w:rPr>
        <w:t>（群）</w:t>
      </w:r>
      <w:bookmarkEnd w:id="164"/>
      <w:bookmarkEnd w:id="165"/>
      <w:bookmarkEnd w:id="166"/>
      <w:bookmarkEnd w:id="167"/>
      <w:bookmarkEnd w:id="168"/>
      <w:bookmarkEnd w:id="169"/>
      <w:bookmarkEnd w:id="170"/>
    </w:p>
    <w:p w14:paraId="57957DFF">
      <w:pPr>
        <w:ind w:firstLine="480" w:firstLineChars="200"/>
        <w:rPr>
          <w:rFonts w:hint="eastAsia" w:hAnsi="仿宋"/>
          <w:bCs/>
        </w:rPr>
      </w:pPr>
      <w:bookmarkStart w:id="171" w:name="_Hlk99011442"/>
      <w:r>
        <w:rPr>
          <w:rFonts w:hint="eastAsia" w:hAnsi="仿宋"/>
          <w:bCs/>
        </w:rPr>
        <w:t>主要面向金融行业，金融、会计、管理、市场营销、经济贸易等领域如商业银行、资产管理公司、公募基金、商业保险公司等从事理财、基金、保险产品综合规划和销售的工作人员（以工作经验5年以下的新员工为主），包括但不局限于产品销售经理、客户经理、产品经理、销售主管、投资分析师、投资经理等。</w:t>
      </w:r>
    </w:p>
    <w:bookmarkEnd w:id="171"/>
    <w:p w14:paraId="1D0F77E8">
      <w:pPr>
        <w:pStyle w:val="17"/>
        <w:spacing w:beforeLines="0" w:afterLines="0"/>
        <w:ind w:left="0"/>
        <w:outlineLvl w:val="9"/>
        <w:rPr>
          <w:sz w:val="24"/>
          <w:szCs w:val="24"/>
        </w:rPr>
      </w:pPr>
      <w:bookmarkStart w:id="172" w:name="_Toc10448178"/>
      <w:bookmarkStart w:id="173" w:name="_Toc10449964"/>
      <w:bookmarkStart w:id="174" w:name="_Toc4814"/>
      <w:bookmarkStart w:id="175" w:name="_Toc77061348"/>
      <w:bookmarkStart w:id="176" w:name="_Toc30604"/>
      <w:bookmarkStart w:id="177" w:name="_Toc10449829"/>
      <w:bookmarkStart w:id="178" w:name="_Toc21087"/>
      <w:bookmarkStart w:id="179" w:name="_Toc3290"/>
      <w:bookmarkStart w:id="180" w:name="_Toc24876"/>
      <w:bookmarkStart w:id="181" w:name="_Toc22818"/>
      <w:bookmarkStart w:id="182" w:name="_Toc9206525"/>
      <w:bookmarkStart w:id="183" w:name="_Toc10449386"/>
      <w:bookmarkStart w:id="184" w:name="_Toc9206301"/>
      <w:bookmarkStart w:id="185" w:name="_Toc10395660"/>
      <w:bookmarkStart w:id="186" w:name="_Toc9461603"/>
      <w:r>
        <w:rPr>
          <w:rFonts w:hint="eastAsia"/>
          <w:sz w:val="24"/>
          <w:szCs w:val="24"/>
        </w:rPr>
        <w:t xml:space="preserve">6  </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Fonts w:hint="eastAsia"/>
          <w:sz w:val="24"/>
          <w:szCs w:val="24"/>
        </w:rPr>
        <w:t>职业能力要求</w:t>
      </w:r>
    </w:p>
    <w:p w14:paraId="7577B1B4">
      <w:pPr>
        <w:pStyle w:val="17"/>
        <w:spacing w:beforeLines="0" w:afterLines="0"/>
        <w:ind w:left="0"/>
        <w:outlineLvl w:val="9"/>
        <w:rPr>
          <w:sz w:val="24"/>
          <w:szCs w:val="24"/>
        </w:rPr>
      </w:pPr>
      <w:bookmarkStart w:id="187" w:name="_Toc11633"/>
      <w:bookmarkStart w:id="188" w:name="_Toc9461604"/>
      <w:bookmarkStart w:id="189" w:name="_Toc10449965"/>
      <w:bookmarkStart w:id="190" w:name="_Toc25034"/>
      <w:bookmarkStart w:id="191" w:name="_Toc10448179"/>
      <w:bookmarkStart w:id="192" w:name="_Toc4629"/>
      <w:bookmarkStart w:id="193" w:name="_Toc77061349"/>
      <w:bookmarkStart w:id="194" w:name="_Toc9206302"/>
      <w:bookmarkStart w:id="195" w:name="_Toc10449830"/>
      <w:bookmarkStart w:id="196" w:name="_Toc9206526"/>
      <w:bookmarkStart w:id="197" w:name="_Toc10449387"/>
      <w:bookmarkStart w:id="198" w:name="_Toc9027"/>
      <w:bookmarkStart w:id="199" w:name="_Toc10395661"/>
      <w:r>
        <w:rPr>
          <w:rFonts w:hint="eastAsia"/>
          <w:sz w:val="24"/>
          <w:szCs w:val="24"/>
        </w:rPr>
        <w:t>6.1  职业能力等级划分</w:t>
      </w:r>
      <w:bookmarkEnd w:id="187"/>
      <w:bookmarkEnd w:id="188"/>
      <w:bookmarkEnd w:id="189"/>
      <w:bookmarkEnd w:id="190"/>
      <w:bookmarkEnd w:id="191"/>
      <w:bookmarkEnd w:id="192"/>
      <w:bookmarkEnd w:id="193"/>
      <w:bookmarkEnd w:id="194"/>
      <w:bookmarkEnd w:id="195"/>
      <w:bookmarkEnd w:id="196"/>
      <w:bookmarkEnd w:id="197"/>
      <w:bookmarkEnd w:id="198"/>
      <w:bookmarkEnd w:id="199"/>
    </w:p>
    <w:p w14:paraId="0BE94FF6">
      <w:pPr>
        <w:pStyle w:val="16"/>
        <w:ind w:firstLine="480"/>
        <w:rPr>
          <w:rFonts w:ascii="Times New Roman"/>
          <w:sz w:val="24"/>
          <w:szCs w:val="24"/>
        </w:rPr>
      </w:pPr>
      <w:bookmarkStart w:id="200" w:name="_Toc9461605"/>
      <w:bookmarkStart w:id="201" w:name="_Toc9206303"/>
      <w:bookmarkStart w:id="202" w:name="_Toc9206527"/>
      <w:r>
        <w:rPr>
          <w:rFonts w:hint="eastAsia" w:hAnsi="宋体"/>
          <w:bCs/>
          <w:sz w:val="24"/>
          <w:szCs w:val="24"/>
        </w:rPr>
        <w:t>智能投顾</w:t>
      </w:r>
      <w:bookmarkStart w:id="203" w:name="_Hlk177281473"/>
      <w:r>
        <w:rPr>
          <w:rFonts w:hint="eastAsia" w:ascii="Times New Roman"/>
          <w:sz w:val="24"/>
          <w:szCs w:val="24"/>
        </w:rPr>
        <w:t>职业能力要求</w:t>
      </w:r>
      <w:bookmarkEnd w:id="203"/>
      <w:r>
        <w:rPr>
          <w:rFonts w:hint="eastAsia" w:ascii="Times New Roman"/>
          <w:sz w:val="24"/>
          <w:szCs w:val="24"/>
        </w:rPr>
        <w:t>分为三个等级：初级、中级、高级</w:t>
      </w:r>
      <w:bookmarkEnd w:id="200"/>
      <w:bookmarkEnd w:id="201"/>
      <w:bookmarkEnd w:id="202"/>
      <w:r>
        <w:rPr>
          <w:rFonts w:hint="eastAsia" w:ascii="Times New Roman"/>
          <w:sz w:val="24"/>
          <w:szCs w:val="24"/>
        </w:rPr>
        <w:t>，三个级别依次递进，高级别涵盖低级别职业能力要求。</w:t>
      </w:r>
    </w:p>
    <w:p w14:paraId="10AD56BA">
      <w:pPr>
        <w:ind w:firstLine="480" w:firstLineChars="200"/>
        <w:rPr>
          <w:rFonts w:ascii="Times New Roman" w:hAnsi="Times New Roman" w:eastAsia="仿宋_GB2312" w:cs="Times New Roman"/>
        </w:rPr>
      </w:pPr>
      <w:r>
        <w:rPr>
          <w:rFonts w:hint="eastAsia" w:ascii="Times New Roman" w:hAnsi="Times New Roman" w:eastAsia="仿宋_GB2312" w:cs="Times New Roman"/>
        </w:rPr>
        <w:t>【智能投顾】（初级）：学习和了解股票、债券、证券投资基金、保险、银行理财产品、反洗钱等基础知识，学习和了解金融科技基础知识及应用。学习理财规划的基础理论，了解理财师APP等智能投顾工具的基本功能。初级职业能力的核心是掌握知识，理解工具，完成对知识和工具的基础运用，在常见的服务情景中能实现对信息的提取、介绍和资源连接。</w:t>
      </w:r>
    </w:p>
    <w:p w14:paraId="64E4E68C">
      <w:pPr>
        <w:ind w:firstLine="480" w:firstLineChars="200"/>
        <w:rPr>
          <w:rFonts w:ascii="Times New Roman" w:hAnsi="Times New Roman" w:eastAsia="仿宋_GB2312" w:cs="Times New Roman"/>
        </w:rPr>
      </w:pPr>
      <w:r>
        <w:rPr>
          <w:rFonts w:hint="eastAsia" w:ascii="Times New Roman" w:hAnsi="Times New Roman" w:eastAsia="仿宋_GB2312" w:cs="Times New Roman"/>
        </w:rPr>
        <w:t>【智能投顾】（中级）：掌握股票、债券、另类投资基金、大宗商品、信托、反洗钱等各类理财产品综合知识；理解掌握智能获客和智能客服；学习单项理财规划的相关知识；熟练掌握理财师APP的各主要功能和应用场景；能够开展基于智能投顾工具的客户精准化营销。中级职业能力的核心是深化知识，掌握工具，完成对知识和工具的整合和运用，实现对服务人群的咨询服务。</w:t>
      </w:r>
    </w:p>
    <w:p w14:paraId="3C6D85EA">
      <w:pPr>
        <w:ind w:firstLine="480" w:firstLineChars="200"/>
        <w:rPr>
          <w:rFonts w:ascii="Times New Roman" w:hAnsi="Times New Roman" w:eastAsia="仿宋_GB2312" w:cs="Times New Roman"/>
        </w:rPr>
      </w:pPr>
      <w:r>
        <w:rPr>
          <w:rFonts w:hint="eastAsia" w:ascii="Times New Roman" w:hAnsi="Times New Roman" w:eastAsia="仿宋_GB2312" w:cs="Times New Roman"/>
        </w:rPr>
        <w:t>【智能投顾】（高级）：</w:t>
      </w:r>
      <w:bookmarkStart w:id="204" w:name="_Toc9206528"/>
      <w:bookmarkStart w:id="205" w:name="_Toc9206304"/>
      <w:bookmarkStart w:id="206" w:name="_Toc9461606"/>
      <w:r>
        <w:rPr>
          <w:rFonts w:hint="eastAsia" w:ascii="Times New Roman" w:hAnsi="Times New Roman" w:eastAsia="仿宋_GB2312" w:cs="Times New Roman"/>
        </w:rPr>
        <w:t>熟练掌握黄金、外汇、期货与衍生品、私募股权基金、反洗钱，以及证券投资分析等专业知识；学习并贯通综合理财规划的相关知识及案例；深入理解和掌握智能投研和智能风控的相关应用；能够综合运用理财师APP等智能投顾工具制定综合规划。高级职业能力的核心是内化知识，延展工具，完成对知识和工具的灵活运用，实现主动而灵活的运用知识，为服务人群提供定制化服务。</w:t>
      </w:r>
    </w:p>
    <w:p w14:paraId="50B741EA">
      <w:pPr>
        <w:pStyle w:val="17"/>
        <w:spacing w:beforeLines="0" w:afterLines="0"/>
        <w:ind w:left="0"/>
        <w:outlineLvl w:val="9"/>
        <w:rPr>
          <w:sz w:val="24"/>
          <w:szCs w:val="24"/>
        </w:rPr>
      </w:pPr>
      <w:bookmarkStart w:id="207" w:name="_Toc77061350"/>
      <w:bookmarkStart w:id="208" w:name="_Toc22050"/>
      <w:bookmarkStart w:id="209" w:name="_Toc31603"/>
      <w:bookmarkStart w:id="210" w:name="_Toc5731"/>
      <w:bookmarkStart w:id="211" w:name="_Toc16132"/>
      <w:r>
        <w:rPr>
          <w:rFonts w:hint="eastAsia"/>
          <w:sz w:val="24"/>
          <w:szCs w:val="24"/>
        </w:rPr>
        <w:t>6.2  职业能力等级要求描述</w:t>
      </w:r>
      <w:bookmarkEnd w:id="204"/>
      <w:bookmarkEnd w:id="205"/>
      <w:bookmarkEnd w:id="206"/>
      <w:bookmarkEnd w:id="207"/>
      <w:bookmarkEnd w:id="208"/>
      <w:bookmarkEnd w:id="209"/>
      <w:bookmarkEnd w:id="210"/>
      <w:bookmarkEnd w:id="211"/>
    </w:p>
    <w:p w14:paraId="21689B08">
      <w:pPr>
        <w:snapToGrid w:val="0"/>
        <w:spacing w:line="600" w:lineRule="exact"/>
        <w:jc w:val="center"/>
        <w:rPr>
          <w:rFonts w:hint="eastAsia"/>
        </w:rPr>
      </w:pPr>
      <w:r>
        <w:rPr>
          <w:rFonts w:hint="eastAsia" w:ascii="黑体" w:hAnsi="黑体" w:eastAsia="黑体"/>
        </w:rPr>
        <w:t>表1 智能投顾职业能力要求（初级）</w:t>
      </w:r>
    </w:p>
    <w:tbl>
      <w:tblPr>
        <w:tblStyle w:val="9"/>
        <w:tblW w:w="0" w:type="auto"/>
        <w:tblInd w:w="0" w:type="dxa"/>
        <w:tblLayout w:type="autofit"/>
        <w:tblCellMar>
          <w:top w:w="0" w:type="dxa"/>
          <w:left w:w="108" w:type="dxa"/>
          <w:bottom w:w="0" w:type="dxa"/>
          <w:right w:w="108" w:type="dxa"/>
        </w:tblCellMar>
      </w:tblPr>
      <w:tblGrid>
        <w:gridCol w:w="876"/>
        <w:gridCol w:w="1590"/>
        <w:gridCol w:w="3039"/>
        <w:gridCol w:w="3017"/>
      </w:tblGrid>
      <w:tr w14:paraId="225992AE">
        <w:tblPrEx>
          <w:tblCellMar>
            <w:top w:w="0" w:type="dxa"/>
            <w:left w:w="108" w:type="dxa"/>
            <w:bottom w:w="0" w:type="dxa"/>
            <w:right w:w="108" w:type="dxa"/>
          </w:tblCellMar>
        </w:tblPrEx>
        <w:trPr>
          <w:trHeight w:val="54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E508DB1">
            <w:pPr>
              <w:jc w:val="center"/>
              <w:rPr>
                <w:rFonts w:ascii="黑体" w:hAnsi="黑体" w:eastAsia="黑体"/>
                <w:color w:val="000000"/>
              </w:rPr>
            </w:pPr>
            <w:bookmarkStart w:id="212" w:name="_Toc10395662"/>
            <w:bookmarkStart w:id="213" w:name="_Toc10449388"/>
            <w:bookmarkStart w:id="214" w:name="_Toc10449966"/>
            <w:bookmarkStart w:id="215" w:name="_Toc9206529"/>
            <w:bookmarkStart w:id="216" w:name="_Toc9461607"/>
            <w:bookmarkStart w:id="217" w:name="_Toc10448180"/>
            <w:bookmarkStart w:id="218" w:name="_Toc9206305"/>
            <w:bookmarkStart w:id="219" w:name="_Toc10449831"/>
            <w:r>
              <w:rPr>
                <w:rFonts w:hint="eastAsia" w:ascii="黑体" w:hAnsi="黑体" w:eastAsia="黑体"/>
                <w:color w:val="000000"/>
              </w:rPr>
              <w:t>工作领域</w:t>
            </w:r>
          </w:p>
        </w:tc>
        <w:tc>
          <w:tcPr>
            <w:tcW w:w="0" w:type="auto"/>
            <w:tcBorders>
              <w:top w:val="single" w:color="auto" w:sz="4" w:space="0"/>
              <w:left w:val="nil"/>
              <w:bottom w:val="single" w:color="auto" w:sz="4" w:space="0"/>
              <w:right w:val="single" w:color="auto" w:sz="4" w:space="0"/>
            </w:tcBorders>
            <w:shd w:val="clear" w:color="auto" w:fill="auto"/>
            <w:vAlign w:val="center"/>
          </w:tcPr>
          <w:p w14:paraId="2358B684">
            <w:pPr>
              <w:jc w:val="center"/>
              <w:rPr>
                <w:rFonts w:hint="eastAsia" w:ascii="黑体" w:hAnsi="黑体" w:eastAsia="黑体"/>
                <w:color w:val="000000"/>
              </w:rPr>
            </w:pPr>
            <w:r>
              <w:rPr>
                <w:rFonts w:hint="eastAsia" w:ascii="黑体" w:hAnsi="黑体" w:eastAsia="黑体"/>
                <w:color w:val="000000"/>
              </w:rPr>
              <w:t>工作任务</w:t>
            </w:r>
          </w:p>
        </w:tc>
        <w:tc>
          <w:tcPr>
            <w:tcW w:w="0" w:type="auto"/>
            <w:tcBorders>
              <w:top w:val="single" w:color="auto" w:sz="4" w:space="0"/>
              <w:left w:val="nil"/>
              <w:bottom w:val="single" w:color="auto" w:sz="4" w:space="0"/>
              <w:right w:val="single" w:color="auto" w:sz="4" w:space="0"/>
            </w:tcBorders>
            <w:shd w:val="clear" w:color="auto" w:fill="auto"/>
            <w:vAlign w:val="center"/>
          </w:tcPr>
          <w:p w14:paraId="1D5E9922">
            <w:pPr>
              <w:jc w:val="center"/>
              <w:rPr>
                <w:rFonts w:hint="eastAsia" w:ascii="黑体" w:hAnsi="黑体" w:eastAsia="黑体"/>
                <w:color w:val="000000"/>
              </w:rPr>
            </w:pPr>
            <w:r>
              <w:rPr>
                <w:rFonts w:hint="eastAsia" w:ascii="黑体" w:hAnsi="黑体" w:eastAsia="黑体"/>
                <w:color w:val="000000"/>
              </w:rPr>
              <w:t>职业能力要求</w:t>
            </w:r>
          </w:p>
        </w:tc>
        <w:tc>
          <w:tcPr>
            <w:tcW w:w="0" w:type="auto"/>
            <w:tcBorders>
              <w:top w:val="single" w:color="auto" w:sz="4" w:space="0"/>
              <w:left w:val="nil"/>
              <w:bottom w:val="single" w:color="auto" w:sz="4" w:space="0"/>
              <w:right w:val="single" w:color="auto" w:sz="4" w:space="0"/>
            </w:tcBorders>
            <w:shd w:val="clear" w:color="auto" w:fill="auto"/>
            <w:vAlign w:val="center"/>
          </w:tcPr>
          <w:p w14:paraId="51256326">
            <w:pPr>
              <w:jc w:val="center"/>
              <w:rPr>
                <w:rFonts w:hint="eastAsia" w:ascii="黑体" w:hAnsi="黑体" w:eastAsia="黑体"/>
                <w:color w:val="000000"/>
              </w:rPr>
            </w:pPr>
            <w:r>
              <w:rPr>
                <w:rFonts w:hint="eastAsia" w:ascii="黑体" w:hAnsi="黑体" w:eastAsia="黑体"/>
                <w:color w:val="000000"/>
              </w:rPr>
              <w:t>相关知识要求</w:t>
            </w:r>
          </w:p>
        </w:tc>
      </w:tr>
      <w:tr w14:paraId="1CCD01BD">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15CE9F0">
            <w:pPr>
              <w:rPr>
                <w:rFonts w:hint="eastAsia" w:ascii="仿宋_GB2312" w:hAnsi="等线" w:eastAsia="仿宋_GB2312"/>
                <w:color w:val="000000"/>
              </w:rPr>
            </w:pPr>
            <w:r>
              <w:rPr>
                <w:rFonts w:hint="eastAsia" w:ascii="仿宋_GB2312" w:hAnsi="等线" w:eastAsia="仿宋_GB2312"/>
                <w:color w:val="000000"/>
              </w:rPr>
              <w:t>1.</w:t>
            </w:r>
            <w:r>
              <w:rPr>
                <w:rFonts w:hint="eastAsia"/>
                <w:color w:val="000000"/>
              </w:rPr>
              <w:t>智能投顾产品规划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4877607">
            <w:pPr>
              <w:rPr>
                <w:rFonts w:hint="eastAsia" w:ascii="仿宋_GB2312" w:hAnsi="等线" w:eastAsia="仿宋_GB2312"/>
                <w:color w:val="000000"/>
              </w:rPr>
            </w:pPr>
            <w:r>
              <w:rPr>
                <w:rFonts w:hint="eastAsia" w:ascii="仿宋_GB2312" w:hAnsi="等线" w:eastAsia="仿宋_GB2312"/>
                <w:color w:val="000000"/>
              </w:rPr>
              <w:t xml:space="preserve">1.1 </w:t>
            </w:r>
            <w:r>
              <w:rPr>
                <w:rFonts w:hint="eastAsia"/>
                <w:color w:val="000000"/>
              </w:rPr>
              <w:t>金融科技投研</w:t>
            </w:r>
          </w:p>
        </w:tc>
        <w:tc>
          <w:tcPr>
            <w:tcW w:w="0" w:type="auto"/>
            <w:tcBorders>
              <w:top w:val="nil"/>
              <w:left w:val="nil"/>
              <w:bottom w:val="single" w:color="auto" w:sz="4" w:space="0"/>
              <w:right w:val="single" w:color="auto" w:sz="4" w:space="0"/>
            </w:tcBorders>
            <w:shd w:val="clear" w:color="auto" w:fill="auto"/>
            <w:vAlign w:val="center"/>
          </w:tcPr>
          <w:p w14:paraId="1BC7BC38">
            <w:pPr>
              <w:rPr>
                <w:rFonts w:hint="eastAsia" w:ascii="仿宋_GB2312" w:hAnsi="等线" w:eastAsia="仿宋_GB2312"/>
                <w:color w:val="000000"/>
              </w:rPr>
            </w:pPr>
            <w:r>
              <w:rPr>
                <w:rFonts w:hint="eastAsia" w:ascii="仿宋_GB2312" w:hAnsi="等线" w:eastAsia="仿宋_GB2312"/>
                <w:color w:val="000000"/>
              </w:rPr>
              <w:t xml:space="preserve">1.1.1 </w:t>
            </w:r>
            <w:r>
              <w:rPr>
                <w:rFonts w:hint="eastAsia"/>
                <w:color w:val="000000"/>
              </w:rPr>
              <w:t>能够利用金融科技基础知识进行基础投研分析。</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88C635E">
            <w:pPr>
              <w:jc w:val="center"/>
              <w:rPr>
                <w:rFonts w:hint="eastAsia" w:ascii="等线" w:hAnsi="等线" w:eastAsia="等线"/>
                <w:color w:val="000000"/>
                <w:sz w:val="22"/>
              </w:rPr>
            </w:pPr>
            <w:r>
              <w:rPr>
                <w:rFonts w:hint="eastAsia" w:ascii="等线" w:hAnsi="等线" w:eastAsia="等线"/>
                <w:color w:val="000000"/>
                <w:sz w:val="22"/>
              </w:rPr>
              <w:t>金融科技、投资学基础，及金融科技趋势分析、投资策略应用、风险管理的相关知识要求。</w:t>
            </w:r>
          </w:p>
        </w:tc>
      </w:tr>
      <w:tr w14:paraId="10CDBA9C">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FC87B6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9335D7C">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2963F14">
            <w:pPr>
              <w:rPr>
                <w:rFonts w:hint="eastAsia" w:ascii="仿宋_GB2312" w:hAnsi="等线" w:eastAsia="仿宋_GB2312"/>
                <w:color w:val="000000"/>
              </w:rPr>
            </w:pPr>
            <w:r>
              <w:rPr>
                <w:rFonts w:hint="eastAsia" w:ascii="仿宋_GB2312" w:hAnsi="等线" w:eastAsia="仿宋_GB2312"/>
                <w:color w:val="000000"/>
              </w:rPr>
              <w:t xml:space="preserve">1.1.2 </w:t>
            </w:r>
            <w:r>
              <w:rPr>
                <w:rFonts w:hint="eastAsia"/>
                <w:color w:val="000000"/>
              </w:rPr>
              <w:t>能够洞悉金融科技领域的最新发展趋势，判断投研方向。</w:t>
            </w:r>
          </w:p>
        </w:tc>
        <w:tc>
          <w:tcPr>
            <w:tcW w:w="0" w:type="auto"/>
            <w:vMerge w:val="continue"/>
            <w:tcBorders>
              <w:top w:val="nil"/>
              <w:left w:val="single" w:color="auto" w:sz="4" w:space="0"/>
              <w:bottom w:val="single" w:color="auto" w:sz="4" w:space="0"/>
              <w:right w:val="single" w:color="auto" w:sz="4" w:space="0"/>
            </w:tcBorders>
            <w:vAlign w:val="center"/>
          </w:tcPr>
          <w:p w14:paraId="68FEC4B8">
            <w:pPr>
              <w:rPr>
                <w:rFonts w:ascii="等线" w:hAnsi="等线" w:eastAsia="等线"/>
                <w:color w:val="000000"/>
                <w:sz w:val="22"/>
              </w:rPr>
            </w:pPr>
          </w:p>
        </w:tc>
      </w:tr>
      <w:tr w14:paraId="6DE2A8A4">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F7CBE8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FA5077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91B7D2C">
            <w:pPr>
              <w:rPr>
                <w:rFonts w:hint="eastAsia" w:ascii="仿宋_GB2312" w:hAnsi="等线" w:eastAsia="仿宋_GB2312"/>
                <w:color w:val="000000"/>
              </w:rPr>
            </w:pPr>
            <w:r>
              <w:rPr>
                <w:rFonts w:hint="eastAsia" w:ascii="仿宋_GB2312" w:hAnsi="等线" w:eastAsia="仿宋_GB2312"/>
                <w:color w:val="000000"/>
              </w:rPr>
              <w:t xml:space="preserve">1.1.3 </w:t>
            </w:r>
            <w:r>
              <w:rPr>
                <w:rFonts w:hint="eastAsia"/>
                <w:color w:val="000000"/>
              </w:rPr>
              <w:t>能够根据金融科技在金融投资行业主要的应用情况，掌握投研应用方法。</w:t>
            </w:r>
          </w:p>
        </w:tc>
        <w:tc>
          <w:tcPr>
            <w:tcW w:w="0" w:type="auto"/>
            <w:vMerge w:val="continue"/>
            <w:tcBorders>
              <w:top w:val="nil"/>
              <w:left w:val="single" w:color="auto" w:sz="4" w:space="0"/>
              <w:bottom w:val="single" w:color="auto" w:sz="4" w:space="0"/>
              <w:right w:val="single" w:color="auto" w:sz="4" w:space="0"/>
            </w:tcBorders>
            <w:vAlign w:val="center"/>
          </w:tcPr>
          <w:p w14:paraId="5E9DFC3D">
            <w:pPr>
              <w:rPr>
                <w:rFonts w:ascii="等线" w:hAnsi="等线" w:eastAsia="等线"/>
                <w:color w:val="000000"/>
                <w:sz w:val="22"/>
              </w:rPr>
            </w:pPr>
          </w:p>
        </w:tc>
      </w:tr>
      <w:tr w14:paraId="701AF78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B6C9EC7">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114143C">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A58F066">
            <w:pPr>
              <w:rPr>
                <w:rFonts w:hint="eastAsia" w:ascii="仿宋_GB2312" w:hAnsi="等线" w:eastAsia="仿宋_GB2312"/>
                <w:color w:val="000000"/>
              </w:rPr>
            </w:pPr>
            <w:r>
              <w:rPr>
                <w:rFonts w:hint="eastAsia" w:ascii="仿宋_GB2312" w:hAnsi="等线" w:eastAsia="仿宋_GB2312"/>
                <w:color w:val="000000"/>
              </w:rPr>
              <w:t xml:space="preserve">1.1.4 </w:t>
            </w:r>
            <w:r>
              <w:rPr>
                <w:rFonts w:hint="eastAsia"/>
                <w:color w:val="000000"/>
              </w:rPr>
              <w:t>能够利用金融科技规避投研中的主要风险。</w:t>
            </w:r>
          </w:p>
        </w:tc>
        <w:tc>
          <w:tcPr>
            <w:tcW w:w="0" w:type="auto"/>
            <w:vMerge w:val="continue"/>
            <w:tcBorders>
              <w:top w:val="nil"/>
              <w:left w:val="single" w:color="auto" w:sz="4" w:space="0"/>
              <w:bottom w:val="single" w:color="auto" w:sz="4" w:space="0"/>
              <w:right w:val="single" w:color="auto" w:sz="4" w:space="0"/>
            </w:tcBorders>
            <w:vAlign w:val="center"/>
          </w:tcPr>
          <w:p w14:paraId="410B7882">
            <w:pPr>
              <w:rPr>
                <w:rFonts w:ascii="等线" w:hAnsi="等线" w:eastAsia="等线"/>
                <w:color w:val="000000"/>
                <w:sz w:val="22"/>
              </w:rPr>
            </w:pPr>
          </w:p>
        </w:tc>
      </w:tr>
      <w:tr w14:paraId="7D75210C">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597E4BE">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F2F2511">
            <w:pPr>
              <w:rPr>
                <w:rFonts w:hint="eastAsia" w:ascii="仿宋_GB2312" w:hAnsi="等线" w:eastAsia="仿宋_GB2312"/>
                <w:color w:val="000000"/>
              </w:rPr>
            </w:pPr>
            <w:r>
              <w:rPr>
                <w:rFonts w:hint="eastAsia" w:ascii="仿宋_GB2312" w:hAnsi="等线" w:eastAsia="仿宋_GB2312"/>
                <w:color w:val="000000"/>
              </w:rPr>
              <w:t xml:space="preserve">1.2 </w:t>
            </w:r>
            <w:r>
              <w:rPr>
                <w:rFonts w:hint="eastAsia"/>
                <w:color w:val="000000"/>
              </w:rPr>
              <w:t>人工智能投研</w:t>
            </w:r>
          </w:p>
        </w:tc>
        <w:tc>
          <w:tcPr>
            <w:tcW w:w="0" w:type="auto"/>
            <w:tcBorders>
              <w:top w:val="nil"/>
              <w:left w:val="nil"/>
              <w:bottom w:val="single" w:color="auto" w:sz="4" w:space="0"/>
              <w:right w:val="single" w:color="auto" w:sz="4" w:space="0"/>
            </w:tcBorders>
            <w:shd w:val="clear" w:color="auto" w:fill="auto"/>
            <w:vAlign w:val="center"/>
          </w:tcPr>
          <w:p w14:paraId="0EADC110">
            <w:pPr>
              <w:rPr>
                <w:rFonts w:hint="eastAsia" w:ascii="仿宋_GB2312" w:hAnsi="等线" w:eastAsia="仿宋_GB2312"/>
                <w:color w:val="000000"/>
              </w:rPr>
            </w:pPr>
            <w:r>
              <w:rPr>
                <w:rFonts w:hint="eastAsia" w:ascii="仿宋_GB2312" w:hAnsi="等线" w:eastAsia="仿宋_GB2312"/>
                <w:color w:val="000000"/>
              </w:rPr>
              <w:t xml:space="preserve">1.2.1 </w:t>
            </w:r>
            <w:r>
              <w:rPr>
                <w:rFonts w:hint="eastAsia"/>
                <w:color w:val="000000"/>
              </w:rPr>
              <w:t>能够利用人工智能（</w:t>
            </w:r>
            <w:r>
              <w:rPr>
                <w:rFonts w:hint="eastAsia" w:ascii="仿宋_GB2312" w:hAnsi="等线" w:eastAsia="仿宋_GB2312"/>
                <w:color w:val="000000"/>
              </w:rPr>
              <w:t>AI</w:t>
            </w:r>
            <w:r>
              <w:rPr>
                <w:rFonts w:hint="eastAsia"/>
                <w:color w:val="000000"/>
              </w:rPr>
              <w:t>）原理进行基础投研分析。</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AD44C05">
            <w:pPr>
              <w:jc w:val="center"/>
              <w:rPr>
                <w:rFonts w:hint="eastAsia" w:ascii="等线" w:hAnsi="等线" w:eastAsia="等线"/>
                <w:color w:val="000000"/>
                <w:sz w:val="22"/>
              </w:rPr>
            </w:pPr>
            <w:r>
              <w:rPr>
                <w:rFonts w:hint="eastAsia" w:ascii="等线" w:hAnsi="等线" w:eastAsia="等线"/>
                <w:color w:val="000000"/>
                <w:sz w:val="22"/>
              </w:rPr>
              <w:t>人工智能基础、机器学习，及AI金融应用、投研策略分析、智能投顾系统设计课程的相关知识要求。</w:t>
            </w:r>
          </w:p>
        </w:tc>
      </w:tr>
      <w:tr w14:paraId="73E8727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181C34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A2CF5EC">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9E33FFD">
            <w:pPr>
              <w:rPr>
                <w:rFonts w:hint="eastAsia" w:ascii="仿宋_GB2312" w:hAnsi="等线" w:eastAsia="仿宋_GB2312"/>
                <w:color w:val="000000"/>
              </w:rPr>
            </w:pPr>
            <w:r>
              <w:rPr>
                <w:rFonts w:hint="eastAsia" w:ascii="仿宋_GB2312" w:hAnsi="等线" w:eastAsia="仿宋_GB2312"/>
                <w:color w:val="000000"/>
              </w:rPr>
              <w:t xml:space="preserve">1.2.2 </w:t>
            </w:r>
            <w:r>
              <w:rPr>
                <w:rFonts w:hint="eastAsia"/>
                <w:color w:val="000000"/>
              </w:rPr>
              <w:t>能够洞悉人工智能（</w:t>
            </w:r>
            <w:r>
              <w:rPr>
                <w:rFonts w:hint="eastAsia" w:ascii="仿宋_GB2312" w:hAnsi="等线" w:eastAsia="仿宋_GB2312"/>
                <w:color w:val="000000"/>
              </w:rPr>
              <w:t>AI</w:t>
            </w:r>
            <w:r>
              <w:rPr>
                <w:rFonts w:hint="eastAsia"/>
                <w:color w:val="000000"/>
              </w:rPr>
              <w:t>）领域的最新发展趋势，进行投研价值判断。</w:t>
            </w:r>
          </w:p>
        </w:tc>
        <w:tc>
          <w:tcPr>
            <w:tcW w:w="0" w:type="auto"/>
            <w:vMerge w:val="continue"/>
            <w:tcBorders>
              <w:top w:val="nil"/>
              <w:left w:val="single" w:color="auto" w:sz="4" w:space="0"/>
              <w:bottom w:val="single" w:color="auto" w:sz="4" w:space="0"/>
              <w:right w:val="single" w:color="auto" w:sz="4" w:space="0"/>
            </w:tcBorders>
            <w:vAlign w:val="center"/>
          </w:tcPr>
          <w:p w14:paraId="4E1AC445">
            <w:pPr>
              <w:rPr>
                <w:rFonts w:ascii="等线" w:hAnsi="等线" w:eastAsia="等线"/>
                <w:color w:val="000000"/>
                <w:sz w:val="22"/>
              </w:rPr>
            </w:pPr>
          </w:p>
        </w:tc>
      </w:tr>
      <w:tr w14:paraId="06E55E0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77C328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2ABED5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8BC08B5">
            <w:pPr>
              <w:rPr>
                <w:rFonts w:hint="eastAsia" w:ascii="仿宋_GB2312" w:hAnsi="等线" w:eastAsia="仿宋_GB2312"/>
                <w:color w:val="000000"/>
              </w:rPr>
            </w:pPr>
            <w:r>
              <w:rPr>
                <w:rFonts w:hint="eastAsia" w:ascii="仿宋_GB2312" w:hAnsi="等线" w:eastAsia="仿宋_GB2312"/>
                <w:color w:val="000000"/>
              </w:rPr>
              <w:t xml:space="preserve">1.2.3 </w:t>
            </w:r>
            <w:r>
              <w:rPr>
                <w:rFonts w:hint="eastAsia"/>
                <w:color w:val="000000"/>
              </w:rPr>
              <w:t>能够利用人工智能（</w:t>
            </w:r>
            <w:r>
              <w:rPr>
                <w:rFonts w:hint="eastAsia" w:ascii="仿宋_GB2312" w:hAnsi="等线" w:eastAsia="仿宋_GB2312"/>
                <w:color w:val="000000"/>
              </w:rPr>
              <w:t>AI</w:t>
            </w:r>
            <w:r>
              <w:rPr>
                <w:rFonts w:hint="eastAsia"/>
                <w:color w:val="000000"/>
              </w:rPr>
              <w:t>）投顾原理制定较为基础的投顾建议。</w:t>
            </w:r>
          </w:p>
        </w:tc>
        <w:tc>
          <w:tcPr>
            <w:tcW w:w="0" w:type="auto"/>
            <w:vMerge w:val="continue"/>
            <w:tcBorders>
              <w:top w:val="nil"/>
              <w:left w:val="single" w:color="auto" w:sz="4" w:space="0"/>
              <w:bottom w:val="single" w:color="auto" w:sz="4" w:space="0"/>
              <w:right w:val="single" w:color="auto" w:sz="4" w:space="0"/>
            </w:tcBorders>
            <w:vAlign w:val="center"/>
          </w:tcPr>
          <w:p w14:paraId="30A6B7C9">
            <w:pPr>
              <w:rPr>
                <w:rFonts w:ascii="等线" w:hAnsi="等线" w:eastAsia="等线"/>
                <w:color w:val="000000"/>
                <w:sz w:val="22"/>
              </w:rPr>
            </w:pPr>
          </w:p>
        </w:tc>
      </w:tr>
      <w:tr w14:paraId="1027B9E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856163B">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99F926E">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9C133E4">
            <w:pPr>
              <w:rPr>
                <w:rFonts w:hint="eastAsia" w:ascii="仿宋_GB2312" w:hAnsi="等线" w:eastAsia="仿宋_GB2312"/>
                <w:color w:val="000000"/>
              </w:rPr>
            </w:pPr>
            <w:r>
              <w:rPr>
                <w:rFonts w:hint="eastAsia" w:ascii="仿宋_GB2312" w:hAnsi="等线" w:eastAsia="仿宋_GB2312"/>
                <w:color w:val="000000"/>
              </w:rPr>
              <w:t xml:space="preserve">1.2.4 </w:t>
            </w:r>
            <w:r>
              <w:rPr>
                <w:rFonts w:hint="eastAsia"/>
                <w:color w:val="000000"/>
              </w:rPr>
              <w:t>能够利用人工智能（</w:t>
            </w:r>
            <w:r>
              <w:rPr>
                <w:rFonts w:hint="eastAsia" w:ascii="仿宋_GB2312" w:hAnsi="等线" w:eastAsia="仿宋_GB2312"/>
                <w:color w:val="000000"/>
              </w:rPr>
              <w:t>AI</w:t>
            </w:r>
            <w:r>
              <w:rPr>
                <w:rFonts w:hint="eastAsia"/>
                <w:color w:val="000000"/>
              </w:rPr>
              <w:t>）在投顾领域进行简单的应用工作。</w:t>
            </w:r>
          </w:p>
        </w:tc>
        <w:tc>
          <w:tcPr>
            <w:tcW w:w="0" w:type="auto"/>
            <w:vMerge w:val="continue"/>
            <w:tcBorders>
              <w:top w:val="nil"/>
              <w:left w:val="single" w:color="auto" w:sz="4" w:space="0"/>
              <w:bottom w:val="single" w:color="auto" w:sz="4" w:space="0"/>
              <w:right w:val="single" w:color="auto" w:sz="4" w:space="0"/>
            </w:tcBorders>
            <w:vAlign w:val="center"/>
          </w:tcPr>
          <w:p w14:paraId="13F098EF">
            <w:pPr>
              <w:rPr>
                <w:rFonts w:ascii="等线" w:hAnsi="等线" w:eastAsia="等线"/>
                <w:color w:val="000000"/>
                <w:sz w:val="22"/>
              </w:rPr>
            </w:pPr>
          </w:p>
        </w:tc>
      </w:tr>
      <w:tr w14:paraId="7CFB774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F13ABC8">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0B201D5">
            <w:pPr>
              <w:rPr>
                <w:rFonts w:hint="eastAsia" w:ascii="仿宋_GB2312" w:hAnsi="等线" w:eastAsia="仿宋_GB2312"/>
                <w:color w:val="000000"/>
              </w:rPr>
            </w:pPr>
            <w:r>
              <w:rPr>
                <w:rFonts w:hint="eastAsia" w:ascii="仿宋_GB2312" w:hAnsi="等线" w:eastAsia="仿宋_GB2312"/>
                <w:color w:val="000000"/>
              </w:rPr>
              <w:t xml:space="preserve">1.3 </w:t>
            </w:r>
            <w:r>
              <w:rPr>
                <w:rFonts w:hint="eastAsia"/>
                <w:color w:val="000000"/>
              </w:rPr>
              <w:t>智能投顾</w:t>
            </w:r>
            <w:r>
              <w:rPr>
                <w:rFonts w:hint="eastAsia" w:ascii="仿宋_GB2312" w:hAnsi="等线" w:eastAsia="仿宋_GB2312"/>
                <w:color w:val="000000"/>
              </w:rPr>
              <w:t>APP</w:t>
            </w:r>
            <w:r>
              <w:rPr>
                <w:rFonts w:hint="eastAsia"/>
                <w:color w:val="000000"/>
              </w:rPr>
              <w:t>使用</w:t>
            </w:r>
          </w:p>
        </w:tc>
        <w:tc>
          <w:tcPr>
            <w:tcW w:w="0" w:type="auto"/>
            <w:tcBorders>
              <w:top w:val="nil"/>
              <w:left w:val="nil"/>
              <w:bottom w:val="single" w:color="auto" w:sz="4" w:space="0"/>
              <w:right w:val="single" w:color="auto" w:sz="4" w:space="0"/>
            </w:tcBorders>
            <w:shd w:val="clear" w:color="auto" w:fill="auto"/>
            <w:vAlign w:val="center"/>
          </w:tcPr>
          <w:p w14:paraId="17FD0A9E">
            <w:pPr>
              <w:rPr>
                <w:rFonts w:hint="eastAsia" w:ascii="仿宋_GB2312" w:hAnsi="等线" w:eastAsia="仿宋_GB2312"/>
                <w:color w:val="000000"/>
              </w:rPr>
            </w:pPr>
            <w:r>
              <w:rPr>
                <w:rFonts w:hint="eastAsia" w:ascii="仿宋_GB2312" w:hAnsi="等线" w:eastAsia="仿宋_GB2312"/>
                <w:color w:val="000000"/>
              </w:rPr>
              <w:t xml:space="preserve">1.3.1 </w:t>
            </w:r>
            <w:r>
              <w:rPr>
                <w:rFonts w:hint="eastAsia"/>
                <w:color w:val="000000"/>
              </w:rPr>
              <w:t>能够通过理财师</w:t>
            </w:r>
            <w:r>
              <w:rPr>
                <w:rFonts w:hint="eastAsia" w:ascii="仿宋_GB2312" w:hAnsi="等线" w:eastAsia="仿宋_GB2312"/>
                <w:color w:val="000000"/>
              </w:rPr>
              <w:t>APP</w:t>
            </w:r>
            <w:r>
              <w:rPr>
                <w:rFonts w:hint="eastAsia"/>
                <w:color w:val="000000"/>
              </w:rPr>
              <w:t>等智能投顾工具获取行业信息、金融市场、政策信息等各种资讯。</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18D18C0">
            <w:pPr>
              <w:jc w:val="center"/>
              <w:rPr>
                <w:rFonts w:hint="eastAsia" w:ascii="等线" w:hAnsi="等线" w:eastAsia="等线"/>
                <w:color w:val="000000"/>
                <w:sz w:val="22"/>
              </w:rPr>
            </w:pPr>
            <w:r>
              <w:rPr>
                <w:rFonts w:hint="eastAsia" w:ascii="等线" w:hAnsi="等线" w:eastAsia="等线"/>
                <w:color w:val="000000"/>
                <w:sz w:val="22"/>
              </w:rPr>
              <w:t>信息技术应用、金融学基础，及金融科技产品分析、智能投顾系统操作、综合理财规划实践导向的相关知识要求。</w:t>
            </w:r>
          </w:p>
        </w:tc>
      </w:tr>
      <w:tr w14:paraId="2A45CD6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61BF6D2">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9D8C543">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C144F30">
            <w:pPr>
              <w:rPr>
                <w:rFonts w:hint="eastAsia" w:ascii="仿宋_GB2312" w:hAnsi="等线" w:eastAsia="仿宋_GB2312"/>
                <w:color w:val="000000"/>
              </w:rPr>
            </w:pPr>
            <w:r>
              <w:rPr>
                <w:rFonts w:hint="eastAsia" w:ascii="仿宋_GB2312" w:hAnsi="等线" w:eastAsia="仿宋_GB2312"/>
                <w:color w:val="000000"/>
              </w:rPr>
              <w:t xml:space="preserve">1.3.2 </w:t>
            </w:r>
            <w:r>
              <w:rPr>
                <w:rFonts w:hint="eastAsia"/>
                <w:color w:val="000000"/>
              </w:rPr>
              <w:t>能够熟练使用各类智能投顾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）中基金、证券等模块的各项功能。</w:t>
            </w:r>
          </w:p>
        </w:tc>
        <w:tc>
          <w:tcPr>
            <w:tcW w:w="0" w:type="auto"/>
            <w:vMerge w:val="continue"/>
            <w:tcBorders>
              <w:top w:val="nil"/>
              <w:left w:val="single" w:color="auto" w:sz="4" w:space="0"/>
              <w:bottom w:val="single" w:color="auto" w:sz="4" w:space="0"/>
              <w:right w:val="single" w:color="auto" w:sz="4" w:space="0"/>
            </w:tcBorders>
            <w:vAlign w:val="center"/>
          </w:tcPr>
          <w:p w14:paraId="122ED8F4">
            <w:pPr>
              <w:rPr>
                <w:rFonts w:ascii="等线" w:hAnsi="等线" w:eastAsia="等线"/>
                <w:color w:val="000000"/>
                <w:sz w:val="22"/>
              </w:rPr>
            </w:pPr>
          </w:p>
        </w:tc>
      </w:tr>
      <w:tr w14:paraId="04BE640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2E69EB2">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462F32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317B707">
            <w:pPr>
              <w:rPr>
                <w:rFonts w:hint="eastAsia" w:ascii="仿宋_GB2312" w:hAnsi="等线" w:eastAsia="仿宋_GB2312"/>
                <w:color w:val="000000"/>
              </w:rPr>
            </w:pPr>
            <w:r>
              <w:rPr>
                <w:rFonts w:hint="eastAsia" w:ascii="仿宋_GB2312" w:hAnsi="等线" w:eastAsia="仿宋_GB2312"/>
                <w:color w:val="000000"/>
              </w:rPr>
              <w:t xml:space="preserve">1.3.3 </w:t>
            </w:r>
            <w:r>
              <w:rPr>
                <w:rFonts w:hint="eastAsia"/>
                <w:color w:val="000000"/>
              </w:rPr>
              <w:t>能够熟练使用各类智能投顾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）中保险、黄金等模块的各项功能。</w:t>
            </w:r>
          </w:p>
        </w:tc>
        <w:tc>
          <w:tcPr>
            <w:tcW w:w="0" w:type="auto"/>
            <w:vMerge w:val="continue"/>
            <w:tcBorders>
              <w:top w:val="nil"/>
              <w:left w:val="single" w:color="auto" w:sz="4" w:space="0"/>
              <w:bottom w:val="single" w:color="auto" w:sz="4" w:space="0"/>
              <w:right w:val="single" w:color="auto" w:sz="4" w:space="0"/>
            </w:tcBorders>
            <w:vAlign w:val="center"/>
          </w:tcPr>
          <w:p w14:paraId="0FD54B82">
            <w:pPr>
              <w:rPr>
                <w:rFonts w:ascii="等线" w:hAnsi="等线" w:eastAsia="等线"/>
                <w:color w:val="000000"/>
                <w:sz w:val="22"/>
              </w:rPr>
            </w:pPr>
          </w:p>
        </w:tc>
      </w:tr>
      <w:tr w14:paraId="630ADD9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71094C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227374E">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58195F5">
            <w:pPr>
              <w:rPr>
                <w:rFonts w:hint="eastAsia" w:ascii="仿宋_GB2312" w:hAnsi="等线" w:eastAsia="仿宋_GB2312"/>
                <w:color w:val="000000"/>
              </w:rPr>
            </w:pPr>
            <w:r>
              <w:rPr>
                <w:rFonts w:hint="eastAsia" w:ascii="仿宋_GB2312" w:hAnsi="等线" w:eastAsia="仿宋_GB2312"/>
                <w:color w:val="000000"/>
              </w:rPr>
              <w:t xml:space="preserve">1.3.4 </w:t>
            </w:r>
            <w:r>
              <w:rPr>
                <w:rFonts w:hint="eastAsia"/>
                <w:color w:val="000000"/>
              </w:rPr>
              <w:t>能够熟练使用各类智能投顾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）中理财规划等其他功能。</w:t>
            </w:r>
          </w:p>
        </w:tc>
        <w:tc>
          <w:tcPr>
            <w:tcW w:w="0" w:type="auto"/>
            <w:vMerge w:val="continue"/>
            <w:tcBorders>
              <w:top w:val="nil"/>
              <w:left w:val="single" w:color="auto" w:sz="4" w:space="0"/>
              <w:bottom w:val="single" w:color="auto" w:sz="4" w:space="0"/>
              <w:right w:val="single" w:color="auto" w:sz="4" w:space="0"/>
            </w:tcBorders>
            <w:vAlign w:val="center"/>
          </w:tcPr>
          <w:p w14:paraId="3762C420">
            <w:pPr>
              <w:rPr>
                <w:rFonts w:ascii="等线" w:hAnsi="等线" w:eastAsia="等线"/>
                <w:color w:val="000000"/>
                <w:sz w:val="22"/>
              </w:rPr>
            </w:pPr>
          </w:p>
        </w:tc>
      </w:tr>
      <w:tr w14:paraId="19F50C08">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2E394CA">
            <w:pPr>
              <w:rPr>
                <w:rFonts w:hint="eastAsia" w:ascii="仿宋_GB2312" w:hAnsi="等线" w:eastAsia="仿宋_GB2312"/>
                <w:color w:val="000000"/>
              </w:rPr>
            </w:pPr>
            <w:r>
              <w:rPr>
                <w:rFonts w:hint="eastAsia" w:ascii="仿宋_GB2312" w:hAnsi="等线" w:eastAsia="仿宋_GB2312"/>
                <w:color w:val="000000"/>
              </w:rPr>
              <w:t>2.</w:t>
            </w:r>
            <w:r>
              <w:rPr>
                <w:rFonts w:hint="eastAsia"/>
                <w:color w:val="000000"/>
              </w:rPr>
              <w:t>证券投资规划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FCFE64B">
            <w:pPr>
              <w:rPr>
                <w:rFonts w:hint="eastAsia" w:ascii="仿宋_GB2312" w:hAnsi="等线" w:eastAsia="仿宋_GB2312"/>
                <w:color w:val="000000"/>
              </w:rPr>
            </w:pPr>
            <w:r>
              <w:rPr>
                <w:rFonts w:hint="eastAsia" w:ascii="仿宋_GB2312" w:hAnsi="等线" w:eastAsia="仿宋_GB2312"/>
                <w:color w:val="000000"/>
              </w:rPr>
              <w:t xml:space="preserve">2.1 </w:t>
            </w:r>
            <w:r>
              <w:rPr>
                <w:rFonts w:hint="eastAsia"/>
                <w:color w:val="000000"/>
              </w:rPr>
              <w:t>证券基础知识初级投研</w:t>
            </w:r>
          </w:p>
        </w:tc>
        <w:tc>
          <w:tcPr>
            <w:tcW w:w="0" w:type="auto"/>
            <w:tcBorders>
              <w:top w:val="nil"/>
              <w:left w:val="nil"/>
              <w:bottom w:val="single" w:color="auto" w:sz="4" w:space="0"/>
              <w:right w:val="single" w:color="auto" w:sz="4" w:space="0"/>
            </w:tcBorders>
            <w:shd w:val="clear" w:color="auto" w:fill="auto"/>
            <w:vAlign w:val="center"/>
          </w:tcPr>
          <w:p w14:paraId="45C2AE14">
            <w:pPr>
              <w:rPr>
                <w:rFonts w:hint="eastAsia" w:ascii="仿宋_GB2312" w:hAnsi="等线" w:eastAsia="仿宋_GB2312"/>
                <w:color w:val="000000"/>
              </w:rPr>
            </w:pPr>
            <w:r>
              <w:rPr>
                <w:rFonts w:hint="eastAsia" w:ascii="仿宋_GB2312" w:hAnsi="等线" w:eastAsia="仿宋_GB2312"/>
                <w:color w:val="000000"/>
              </w:rPr>
              <w:t xml:space="preserve">2.1.1 </w:t>
            </w:r>
            <w:r>
              <w:rPr>
                <w:rFonts w:hint="eastAsia"/>
                <w:color w:val="000000"/>
              </w:rPr>
              <w:t>能够利用证券财富管理中的法律实务、职业道德与业务规范进行证券投研的合规分析。</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89CFF25">
            <w:pPr>
              <w:jc w:val="center"/>
              <w:rPr>
                <w:rFonts w:hint="eastAsia" w:ascii="等线" w:hAnsi="等线" w:eastAsia="等线"/>
                <w:color w:val="000000"/>
                <w:sz w:val="22"/>
              </w:rPr>
            </w:pPr>
            <w:r>
              <w:rPr>
                <w:rFonts w:hint="eastAsia" w:ascii="等线" w:hAnsi="等线" w:eastAsia="等线"/>
                <w:color w:val="000000"/>
                <w:sz w:val="22"/>
              </w:rPr>
              <w:t>证券投资学、金融市场与法律，及证券法务实务、投资分析与组合管理、证券产品研究与报告撰写知识要求。</w:t>
            </w:r>
          </w:p>
        </w:tc>
      </w:tr>
      <w:tr w14:paraId="643290FB">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8DB3D5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DCDE3F0">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EAE4F26">
            <w:pPr>
              <w:rPr>
                <w:rFonts w:hint="eastAsia" w:ascii="仿宋_GB2312" w:hAnsi="等线" w:eastAsia="仿宋_GB2312"/>
                <w:color w:val="000000"/>
              </w:rPr>
            </w:pPr>
            <w:r>
              <w:rPr>
                <w:rFonts w:hint="eastAsia" w:ascii="仿宋_GB2312" w:hAnsi="等线" w:eastAsia="仿宋_GB2312"/>
                <w:color w:val="000000"/>
              </w:rPr>
              <w:t xml:space="preserve">2.1.2 </w:t>
            </w:r>
            <w:r>
              <w:rPr>
                <w:rFonts w:hint="eastAsia"/>
                <w:color w:val="000000"/>
              </w:rPr>
              <w:t>能够利用证券的基础知识进行证券类产品投研分析。</w:t>
            </w:r>
          </w:p>
        </w:tc>
        <w:tc>
          <w:tcPr>
            <w:tcW w:w="0" w:type="auto"/>
            <w:vMerge w:val="continue"/>
            <w:tcBorders>
              <w:top w:val="nil"/>
              <w:left w:val="single" w:color="auto" w:sz="4" w:space="0"/>
              <w:bottom w:val="single" w:color="auto" w:sz="4" w:space="0"/>
              <w:right w:val="single" w:color="auto" w:sz="4" w:space="0"/>
            </w:tcBorders>
            <w:vAlign w:val="center"/>
          </w:tcPr>
          <w:p w14:paraId="201F19EE">
            <w:pPr>
              <w:rPr>
                <w:rFonts w:ascii="等线" w:hAnsi="等线" w:eastAsia="等线"/>
                <w:color w:val="000000"/>
                <w:sz w:val="22"/>
              </w:rPr>
            </w:pPr>
          </w:p>
        </w:tc>
      </w:tr>
      <w:tr w14:paraId="2739E2F9">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2F0DF01">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DA7D977">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B4E9B99">
            <w:pPr>
              <w:rPr>
                <w:rFonts w:hint="eastAsia" w:ascii="仿宋_GB2312" w:hAnsi="等线" w:eastAsia="仿宋_GB2312"/>
                <w:color w:val="000000"/>
              </w:rPr>
            </w:pPr>
            <w:r>
              <w:rPr>
                <w:rFonts w:hint="eastAsia" w:ascii="仿宋_GB2312" w:hAnsi="等线" w:eastAsia="仿宋_GB2312"/>
                <w:color w:val="000000"/>
              </w:rPr>
              <w:t xml:space="preserve">2.1.3 </w:t>
            </w:r>
            <w:r>
              <w:rPr>
                <w:rFonts w:hint="eastAsia"/>
                <w:color w:val="000000"/>
              </w:rPr>
              <w:t>能够利用股票、债券等证券从业资格的相关基础知识书写初级的股票、债券投资价值报告。</w:t>
            </w:r>
          </w:p>
        </w:tc>
        <w:tc>
          <w:tcPr>
            <w:tcW w:w="0" w:type="auto"/>
            <w:vMerge w:val="continue"/>
            <w:tcBorders>
              <w:top w:val="nil"/>
              <w:left w:val="single" w:color="auto" w:sz="4" w:space="0"/>
              <w:bottom w:val="single" w:color="auto" w:sz="4" w:space="0"/>
              <w:right w:val="single" w:color="auto" w:sz="4" w:space="0"/>
            </w:tcBorders>
            <w:vAlign w:val="center"/>
          </w:tcPr>
          <w:p w14:paraId="71B4269A">
            <w:pPr>
              <w:rPr>
                <w:rFonts w:ascii="等线" w:hAnsi="等线" w:eastAsia="等线"/>
                <w:color w:val="000000"/>
                <w:sz w:val="22"/>
              </w:rPr>
            </w:pPr>
          </w:p>
        </w:tc>
      </w:tr>
      <w:tr w14:paraId="120D9CA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2C53C33">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3A37740">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1229C82">
            <w:pPr>
              <w:rPr>
                <w:rFonts w:hint="eastAsia" w:ascii="仿宋_GB2312" w:hAnsi="等线" w:eastAsia="仿宋_GB2312"/>
                <w:color w:val="000000"/>
              </w:rPr>
            </w:pPr>
            <w:r>
              <w:rPr>
                <w:rFonts w:hint="eastAsia" w:ascii="仿宋_GB2312" w:hAnsi="等线" w:eastAsia="仿宋_GB2312"/>
                <w:color w:val="000000"/>
              </w:rPr>
              <w:t xml:space="preserve">2.1.4 </w:t>
            </w:r>
            <w:r>
              <w:rPr>
                <w:rFonts w:hint="eastAsia"/>
                <w:color w:val="000000"/>
              </w:rPr>
              <w:t>能够利用证券投资原理进行投资价值判断。</w:t>
            </w:r>
          </w:p>
        </w:tc>
        <w:tc>
          <w:tcPr>
            <w:tcW w:w="0" w:type="auto"/>
            <w:vMerge w:val="continue"/>
            <w:tcBorders>
              <w:top w:val="nil"/>
              <w:left w:val="single" w:color="auto" w:sz="4" w:space="0"/>
              <w:bottom w:val="single" w:color="auto" w:sz="4" w:space="0"/>
              <w:right w:val="single" w:color="auto" w:sz="4" w:space="0"/>
            </w:tcBorders>
            <w:vAlign w:val="center"/>
          </w:tcPr>
          <w:p w14:paraId="27DADAEE">
            <w:pPr>
              <w:rPr>
                <w:rFonts w:ascii="等线" w:hAnsi="等线" w:eastAsia="等线"/>
                <w:color w:val="000000"/>
                <w:sz w:val="22"/>
              </w:rPr>
            </w:pPr>
          </w:p>
        </w:tc>
      </w:tr>
      <w:tr w14:paraId="5C16977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F407160">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64A4DDF">
            <w:pPr>
              <w:rPr>
                <w:rFonts w:hint="eastAsia" w:ascii="仿宋_GB2312" w:hAnsi="等线" w:eastAsia="仿宋_GB2312"/>
                <w:color w:val="000000"/>
              </w:rPr>
            </w:pPr>
            <w:r>
              <w:rPr>
                <w:rFonts w:hint="eastAsia" w:ascii="仿宋_GB2312" w:hAnsi="等线" w:eastAsia="仿宋_GB2312"/>
                <w:color w:val="000000"/>
              </w:rPr>
              <w:t xml:space="preserve">2.2 </w:t>
            </w:r>
            <w:r>
              <w:rPr>
                <w:rFonts w:hint="eastAsia"/>
                <w:color w:val="000000"/>
              </w:rPr>
              <w:t>基金基础知识初级投研</w:t>
            </w:r>
          </w:p>
        </w:tc>
        <w:tc>
          <w:tcPr>
            <w:tcW w:w="0" w:type="auto"/>
            <w:tcBorders>
              <w:top w:val="nil"/>
              <w:left w:val="nil"/>
              <w:bottom w:val="single" w:color="auto" w:sz="4" w:space="0"/>
              <w:right w:val="single" w:color="auto" w:sz="4" w:space="0"/>
            </w:tcBorders>
            <w:shd w:val="clear" w:color="auto" w:fill="auto"/>
            <w:vAlign w:val="center"/>
          </w:tcPr>
          <w:p w14:paraId="7B9A4BF9">
            <w:pPr>
              <w:rPr>
                <w:rFonts w:hint="eastAsia" w:ascii="仿宋_GB2312" w:hAnsi="等线" w:eastAsia="仿宋_GB2312"/>
                <w:color w:val="000000"/>
              </w:rPr>
            </w:pPr>
            <w:r>
              <w:rPr>
                <w:rFonts w:hint="eastAsia" w:ascii="仿宋_GB2312" w:hAnsi="等线" w:eastAsia="仿宋_GB2312"/>
                <w:color w:val="000000"/>
              </w:rPr>
              <w:t xml:space="preserve">2.2.1 </w:t>
            </w:r>
            <w:r>
              <w:rPr>
                <w:rFonts w:hint="eastAsia"/>
                <w:color w:val="000000"/>
              </w:rPr>
              <w:t>能够利用基金财富管理中的法律实务、职业道德与业务规范进行基金投研的合规分析。</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9617D73">
            <w:pPr>
              <w:jc w:val="center"/>
              <w:rPr>
                <w:rFonts w:hint="eastAsia" w:ascii="等线" w:hAnsi="等线" w:eastAsia="等线"/>
                <w:color w:val="000000"/>
                <w:sz w:val="22"/>
              </w:rPr>
            </w:pPr>
            <w:r>
              <w:rPr>
                <w:rFonts w:hint="eastAsia" w:ascii="等线" w:hAnsi="等线" w:eastAsia="等线"/>
                <w:color w:val="000000"/>
                <w:sz w:val="22"/>
              </w:rPr>
              <w:t>基金管理学、金融法规与伦理，及基金投资分析、基金产品设计与评估、金融市场趋势预测的相关知识要求。</w:t>
            </w:r>
          </w:p>
        </w:tc>
      </w:tr>
      <w:tr w14:paraId="352DFA3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9BE9A22">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02BF0A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0BB2801">
            <w:pPr>
              <w:rPr>
                <w:rFonts w:hint="eastAsia" w:ascii="仿宋_GB2312" w:hAnsi="等线" w:eastAsia="仿宋_GB2312"/>
                <w:color w:val="000000"/>
              </w:rPr>
            </w:pPr>
            <w:r>
              <w:rPr>
                <w:rFonts w:hint="eastAsia" w:ascii="仿宋_GB2312" w:hAnsi="等线" w:eastAsia="仿宋_GB2312"/>
                <w:color w:val="000000"/>
              </w:rPr>
              <w:t xml:space="preserve">2.2.2 </w:t>
            </w:r>
            <w:r>
              <w:rPr>
                <w:rFonts w:hint="eastAsia"/>
                <w:color w:val="000000"/>
              </w:rPr>
              <w:t>能够利用基金投资的基础知识进行基金类产品投研分析。</w:t>
            </w:r>
          </w:p>
        </w:tc>
        <w:tc>
          <w:tcPr>
            <w:tcW w:w="0" w:type="auto"/>
            <w:vMerge w:val="continue"/>
            <w:tcBorders>
              <w:top w:val="nil"/>
              <w:left w:val="single" w:color="auto" w:sz="4" w:space="0"/>
              <w:bottom w:val="single" w:color="auto" w:sz="4" w:space="0"/>
              <w:right w:val="single" w:color="auto" w:sz="4" w:space="0"/>
            </w:tcBorders>
            <w:vAlign w:val="center"/>
          </w:tcPr>
          <w:p w14:paraId="66FA8E32">
            <w:pPr>
              <w:rPr>
                <w:rFonts w:ascii="等线" w:hAnsi="等线" w:eastAsia="等线"/>
                <w:color w:val="000000"/>
                <w:sz w:val="22"/>
              </w:rPr>
            </w:pPr>
          </w:p>
        </w:tc>
      </w:tr>
      <w:tr w14:paraId="7274A1A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FE4F8F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E2F94D6">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26DBAAC">
            <w:pPr>
              <w:rPr>
                <w:rFonts w:hint="eastAsia" w:ascii="仿宋_GB2312" w:hAnsi="等线" w:eastAsia="仿宋_GB2312"/>
                <w:color w:val="000000"/>
              </w:rPr>
            </w:pPr>
            <w:r>
              <w:rPr>
                <w:rFonts w:hint="eastAsia" w:ascii="仿宋_GB2312" w:hAnsi="等线" w:eastAsia="仿宋_GB2312"/>
                <w:color w:val="000000"/>
              </w:rPr>
              <w:t xml:space="preserve">2.2.3 </w:t>
            </w:r>
            <w:r>
              <w:rPr>
                <w:rFonts w:hint="eastAsia"/>
                <w:color w:val="000000"/>
              </w:rPr>
              <w:t>能够利用基金从业资格的基础知识书写初级的基金投资价值报告。</w:t>
            </w:r>
          </w:p>
        </w:tc>
        <w:tc>
          <w:tcPr>
            <w:tcW w:w="0" w:type="auto"/>
            <w:vMerge w:val="continue"/>
            <w:tcBorders>
              <w:top w:val="nil"/>
              <w:left w:val="single" w:color="auto" w:sz="4" w:space="0"/>
              <w:bottom w:val="single" w:color="auto" w:sz="4" w:space="0"/>
              <w:right w:val="single" w:color="auto" w:sz="4" w:space="0"/>
            </w:tcBorders>
            <w:vAlign w:val="center"/>
          </w:tcPr>
          <w:p w14:paraId="169F25AA">
            <w:pPr>
              <w:rPr>
                <w:rFonts w:ascii="等线" w:hAnsi="等线" w:eastAsia="等线"/>
                <w:color w:val="000000"/>
                <w:sz w:val="22"/>
              </w:rPr>
            </w:pPr>
          </w:p>
        </w:tc>
      </w:tr>
      <w:tr w14:paraId="30F4F224">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F6B6F84">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7A21CF4">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13D9C2E">
            <w:pPr>
              <w:rPr>
                <w:rFonts w:hint="eastAsia" w:ascii="仿宋_GB2312" w:hAnsi="等线" w:eastAsia="仿宋_GB2312"/>
                <w:color w:val="000000"/>
              </w:rPr>
            </w:pPr>
            <w:r>
              <w:rPr>
                <w:rFonts w:hint="eastAsia" w:ascii="仿宋_GB2312" w:hAnsi="等线" w:eastAsia="仿宋_GB2312"/>
                <w:color w:val="000000"/>
              </w:rPr>
              <w:t xml:space="preserve">2.2.4 </w:t>
            </w:r>
            <w:r>
              <w:rPr>
                <w:rFonts w:hint="eastAsia"/>
                <w:color w:val="000000"/>
              </w:rPr>
              <w:t>能够判断基金投资趋势。</w:t>
            </w:r>
          </w:p>
        </w:tc>
        <w:tc>
          <w:tcPr>
            <w:tcW w:w="0" w:type="auto"/>
            <w:vMerge w:val="continue"/>
            <w:tcBorders>
              <w:top w:val="nil"/>
              <w:left w:val="single" w:color="auto" w:sz="4" w:space="0"/>
              <w:bottom w:val="single" w:color="auto" w:sz="4" w:space="0"/>
              <w:right w:val="single" w:color="auto" w:sz="4" w:space="0"/>
            </w:tcBorders>
            <w:vAlign w:val="center"/>
          </w:tcPr>
          <w:p w14:paraId="339D3487">
            <w:pPr>
              <w:rPr>
                <w:rFonts w:ascii="等线" w:hAnsi="等线" w:eastAsia="等线"/>
                <w:color w:val="000000"/>
                <w:sz w:val="22"/>
              </w:rPr>
            </w:pPr>
          </w:p>
        </w:tc>
      </w:tr>
      <w:tr w14:paraId="5F2928BC">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FFA1EEA">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980D24E">
            <w:pPr>
              <w:rPr>
                <w:rFonts w:hint="eastAsia" w:ascii="仿宋_GB2312" w:hAnsi="等线" w:eastAsia="仿宋_GB2312"/>
                <w:color w:val="000000"/>
              </w:rPr>
            </w:pPr>
            <w:r>
              <w:rPr>
                <w:rFonts w:hint="eastAsia" w:ascii="仿宋_GB2312" w:hAnsi="等线" w:eastAsia="仿宋_GB2312"/>
                <w:color w:val="000000"/>
              </w:rPr>
              <w:t xml:space="preserve">2.3 </w:t>
            </w:r>
            <w:r>
              <w:rPr>
                <w:rFonts w:hint="eastAsia"/>
                <w:color w:val="000000"/>
              </w:rPr>
              <w:t>智能投顾工具基金和证券产品初级投研</w:t>
            </w:r>
          </w:p>
        </w:tc>
        <w:tc>
          <w:tcPr>
            <w:tcW w:w="0" w:type="auto"/>
            <w:tcBorders>
              <w:top w:val="nil"/>
              <w:left w:val="nil"/>
              <w:bottom w:val="single" w:color="auto" w:sz="4" w:space="0"/>
              <w:right w:val="single" w:color="auto" w:sz="4" w:space="0"/>
            </w:tcBorders>
            <w:shd w:val="clear" w:color="auto" w:fill="auto"/>
            <w:vAlign w:val="center"/>
          </w:tcPr>
          <w:p w14:paraId="5E10F405">
            <w:pPr>
              <w:rPr>
                <w:rFonts w:hint="eastAsia" w:ascii="仿宋_GB2312" w:hAnsi="等线" w:eastAsia="仿宋_GB2312"/>
                <w:color w:val="000000"/>
              </w:rPr>
            </w:pPr>
            <w:r>
              <w:rPr>
                <w:rFonts w:hint="eastAsia" w:ascii="仿宋_GB2312" w:hAnsi="等线" w:eastAsia="仿宋_GB2312"/>
                <w:color w:val="000000"/>
              </w:rPr>
              <w:t xml:space="preserve">2.3.1 </w:t>
            </w:r>
            <w:r>
              <w:rPr>
                <w:rFonts w:hint="eastAsia"/>
                <w:color w:val="000000"/>
              </w:rPr>
              <w:t>能够通过智能投顾工具搜索和查询相关基金产品。</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B6E3D0E">
            <w:pPr>
              <w:jc w:val="center"/>
              <w:rPr>
                <w:rFonts w:hint="eastAsia" w:ascii="等线" w:hAnsi="等线" w:eastAsia="等线"/>
                <w:color w:val="000000"/>
                <w:sz w:val="22"/>
              </w:rPr>
            </w:pPr>
            <w:r>
              <w:rPr>
                <w:rFonts w:hint="eastAsia" w:ascii="等线" w:hAnsi="等线" w:eastAsia="等线"/>
                <w:color w:val="000000"/>
                <w:sz w:val="22"/>
              </w:rPr>
              <w:t>金融科技应用、金融产品与市场课程，及智能投顾系统使用、金融产品搜索与分析、资产配置的相关知识要求。</w:t>
            </w:r>
          </w:p>
        </w:tc>
      </w:tr>
      <w:tr w14:paraId="2B518C6B">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90CAEA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6952E43">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41C81E7">
            <w:pPr>
              <w:rPr>
                <w:rFonts w:hint="eastAsia" w:ascii="仿宋_GB2312" w:hAnsi="等线" w:eastAsia="仿宋_GB2312"/>
                <w:color w:val="000000"/>
              </w:rPr>
            </w:pPr>
            <w:r>
              <w:rPr>
                <w:rFonts w:hint="eastAsia" w:ascii="仿宋_GB2312" w:hAnsi="等线" w:eastAsia="仿宋_GB2312"/>
                <w:color w:val="000000"/>
              </w:rPr>
              <w:t xml:space="preserve">2.2.2 </w:t>
            </w:r>
            <w:r>
              <w:rPr>
                <w:rFonts w:hint="eastAsia"/>
                <w:color w:val="000000"/>
              </w:rPr>
              <w:t>能够通过智能投顾工具搜索和查询相关股票产品。</w:t>
            </w:r>
          </w:p>
        </w:tc>
        <w:tc>
          <w:tcPr>
            <w:tcW w:w="0" w:type="auto"/>
            <w:vMerge w:val="continue"/>
            <w:tcBorders>
              <w:top w:val="nil"/>
              <w:left w:val="single" w:color="auto" w:sz="4" w:space="0"/>
              <w:bottom w:val="single" w:color="auto" w:sz="4" w:space="0"/>
              <w:right w:val="single" w:color="auto" w:sz="4" w:space="0"/>
            </w:tcBorders>
            <w:vAlign w:val="center"/>
          </w:tcPr>
          <w:p w14:paraId="74B05248">
            <w:pPr>
              <w:rPr>
                <w:rFonts w:ascii="等线" w:hAnsi="等线" w:eastAsia="等线"/>
                <w:color w:val="000000"/>
                <w:sz w:val="22"/>
              </w:rPr>
            </w:pPr>
          </w:p>
        </w:tc>
      </w:tr>
      <w:tr w14:paraId="1FA7017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284ACE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6E8FC9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32E35CC">
            <w:pPr>
              <w:rPr>
                <w:rFonts w:hint="eastAsia" w:ascii="仿宋_GB2312" w:hAnsi="等线" w:eastAsia="仿宋_GB2312"/>
                <w:color w:val="000000"/>
              </w:rPr>
            </w:pPr>
            <w:r>
              <w:rPr>
                <w:rFonts w:hint="eastAsia" w:ascii="仿宋_GB2312" w:hAnsi="等线" w:eastAsia="仿宋_GB2312"/>
                <w:color w:val="000000"/>
              </w:rPr>
              <w:t xml:space="preserve">2.2.3 </w:t>
            </w:r>
            <w:r>
              <w:rPr>
                <w:rFonts w:hint="eastAsia"/>
                <w:color w:val="000000"/>
              </w:rPr>
              <w:t>能够通过智能投顾工具搜索和查询相关债券产品。</w:t>
            </w:r>
          </w:p>
        </w:tc>
        <w:tc>
          <w:tcPr>
            <w:tcW w:w="0" w:type="auto"/>
            <w:vMerge w:val="continue"/>
            <w:tcBorders>
              <w:top w:val="nil"/>
              <w:left w:val="single" w:color="auto" w:sz="4" w:space="0"/>
              <w:bottom w:val="single" w:color="auto" w:sz="4" w:space="0"/>
              <w:right w:val="single" w:color="auto" w:sz="4" w:space="0"/>
            </w:tcBorders>
            <w:vAlign w:val="center"/>
          </w:tcPr>
          <w:p w14:paraId="6ED294E5">
            <w:pPr>
              <w:rPr>
                <w:rFonts w:ascii="等线" w:hAnsi="等线" w:eastAsia="等线"/>
                <w:color w:val="000000"/>
                <w:sz w:val="22"/>
              </w:rPr>
            </w:pPr>
          </w:p>
        </w:tc>
      </w:tr>
      <w:tr w14:paraId="5AC641C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4EFF7D6">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503C320">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C61A287">
            <w:pPr>
              <w:rPr>
                <w:rFonts w:hint="eastAsia" w:ascii="仿宋_GB2312" w:hAnsi="等线" w:eastAsia="仿宋_GB2312"/>
                <w:color w:val="000000"/>
              </w:rPr>
            </w:pPr>
            <w:r>
              <w:rPr>
                <w:rFonts w:hint="eastAsia" w:ascii="仿宋_GB2312" w:hAnsi="等线" w:eastAsia="仿宋_GB2312"/>
                <w:color w:val="000000"/>
              </w:rPr>
              <w:t xml:space="preserve">2.2.4 </w:t>
            </w:r>
            <w:r>
              <w:rPr>
                <w:rFonts w:hint="eastAsia"/>
                <w:color w:val="000000"/>
              </w:rPr>
              <w:t>能够了解智能投顾工具上各类基金、股票、债券等产品的分类，并进行初步比较。</w:t>
            </w:r>
          </w:p>
        </w:tc>
        <w:tc>
          <w:tcPr>
            <w:tcW w:w="0" w:type="auto"/>
            <w:vMerge w:val="continue"/>
            <w:tcBorders>
              <w:top w:val="nil"/>
              <w:left w:val="single" w:color="auto" w:sz="4" w:space="0"/>
              <w:bottom w:val="single" w:color="auto" w:sz="4" w:space="0"/>
              <w:right w:val="single" w:color="auto" w:sz="4" w:space="0"/>
            </w:tcBorders>
            <w:vAlign w:val="center"/>
          </w:tcPr>
          <w:p w14:paraId="28A4F135">
            <w:pPr>
              <w:rPr>
                <w:rFonts w:ascii="等线" w:hAnsi="等线" w:eastAsia="等线"/>
                <w:color w:val="000000"/>
                <w:sz w:val="22"/>
              </w:rPr>
            </w:pPr>
          </w:p>
        </w:tc>
      </w:tr>
      <w:tr w14:paraId="4465B967">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2D5C8EF">
            <w:pPr>
              <w:rPr>
                <w:rFonts w:hint="eastAsia" w:ascii="仿宋_GB2312" w:hAnsi="等线" w:eastAsia="仿宋_GB2312"/>
                <w:color w:val="000000"/>
              </w:rPr>
            </w:pPr>
            <w:r>
              <w:rPr>
                <w:rFonts w:hint="eastAsia" w:ascii="仿宋_GB2312" w:hAnsi="等线" w:eastAsia="仿宋_GB2312"/>
                <w:color w:val="000000"/>
              </w:rPr>
              <w:t>3.</w:t>
            </w:r>
            <w:r>
              <w:rPr>
                <w:rFonts w:hint="eastAsia"/>
                <w:color w:val="000000"/>
              </w:rPr>
              <w:t>保险规划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E8A2C4C">
            <w:pPr>
              <w:rPr>
                <w:rFonts w:hint="eastAsia" w:ascii="仿宋_GB2312" w:hAnsi="等线" w:eastAsia="仿宋_GB2312"/>
                <w:color w:val="000000"/>
              </w:rPr>
            </w:pPr>
            <w:r>
              <w:rPr>
                <w:rFonts w:hint="eastAsia" w:ascii="仿宋_GB2312" w:hAnsi="等线" w:eastAsia="仿宋_GB2312"/>
                <w:color w:val="000000"/>
              </w:rPr>
              <w:t xml:space="preserve">3.1 </w:t>
            </w:r>
            <w:r>
              <w:rPr>
                <w:rFonts w:hint="eastAsia"/>
                <w:color w:val="000000"/>
              </w:rPr>
              <w:t>保险基础知识初级投研</w:t>
            </w:r>
          </w:p>
        </w:tc>
        <w:tc>
          <w:tcPr>
            <w:tcW w:w="0" w:type="auto"/>
            <w:tcBorders>
              <w:top w:val="nil"/>
              <w:left w:val="nil"/>
              <w:bottom w:val="single" w:color="auto" w:sz="4" w:space="0"/>
              <w:right w:val="single" w:color="auto" w:sz="4" w:space="0"/>
            </w:tcBorders>
            <w:shd w:val="clear" w:color="auto" w:fill="auto"/>
            <w:vAlign w:val="center"/>
          </w:tcPr>
          <w:p w14:paraId="75D257A5">
            <w:pPr>
              <w:rPr>
                <w:rFonts w:hint="eastAsia" w:ascii="仿宋_GB2312" w:hAnsi="等线" w:eastAsia="仿宋_GB2312"/>
                <w:color w:val="000000"/>
              </w:rPr>
            </w:pPr>
            <w:r>
              <w:rPr>
                <w:rFonts w:hint="eastAsia" w:ascii="仿宋_GB2312" w:hAnsi="等线" w:eastAsia="仿宋_GB2312"/>
                <w:color w:val="000000"/>
              </w:rPr>
              <w:t xml:space="preserve">3.1.1 </w:t>
            </w:r>
            <w:r>
              <w:rPr>
                <w:rFonts w:hint="eastAsia"/>
                <w:color w:val="000000"/>
              </w:rPr>
              <w:t>利用保险销售技巧进行初级营销。</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1794556">
            <w:pPr>
              <w:jc w:val="center"/>
              <w:rPr>
                <w:rFonts w:hint="eastAsia" w:ascii="等线" w:hAnsi="等线" w:eastAsia="等线"/>
                <w:color w:val="000000"/>
                <w:sz w:val="22"/>
              </w:rPr>
            </w:pPr>
            <w:r>
              <w:rPr>
                <w:rFonts w:hint="eastAsia" w:ascii="等线" w:hAnsi="等线" w:eastAsia="等线"/>
                <w:color w:val="000000"/>
                <w:sz w:val="22"/>
              </w:rPr>
              <w:t>保险学原理、保险营销技巧，及保险产品设计与分析、保险规划与咨询、健康与养老保险专题研究知识要求。</w:t>
            </w:r>
          </w:p>
        </w:tc>
      </w:tr>
      <w:tr w14:paraId="4BF9085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D86710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9A9B289">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E33320B">
            <w:pPr>
              <w:rPr>
                <w:rFonts w:hint="eastAsia" w:ascii="仿宋_GB2312" w:hAnsi="等线" w:eastAsia="仿宋_GB2312"/>
                <w:color w:val="000000"/>
              </w:rPr>
            </w:pPr>
            <w:r>
              <w:rPr>
                <w:rFonts w:hint="eastAsia" w:ascii="仿宋_GB2312" w:hAnsi="等线" w:eastAsia="仿宋_GB2312"/>
                <w:color w:val="000000"/>
              </w:rPr>
              <w:t xml:space="preserve">3.1.2 </w:t>
            </w:r>
            <w:r>
              <w:rPr>
                <w:rFonts w:hint="eastAsia"/>
                <w:color w:val="000000"/>
              </w:rPr>
              <w:t>能利用保险和健康保险产品原理，向客户提供初级保险产品投研报告。</w:t>
            </w:r>
          </w:p>
        </w:tc>
        <w:tc>
          <w:tcPr>
            <w:tcW w:w="0" w:type="auto"/>
            <w:vMerge w:val="continue"/>
            <w:tcBorders>
              <w:top w:val="nil"/>
              <w:left w:val="single" w:color="auto" w:sz="4" w:space="0"/>
              <w:bottom w:val="single" w:color="auto" w:sz="4" w:space="0"/>
              <w:right w:val="single" w:color="auto" w:sz="4" w:space="0"/>
            </w:tcBorders>
            <w:vAlign w:val="center"/>
          </w:tcPr>
          <w:p w14:paraId="0D13CF01">
            <w:pPr>
              <w:rPr>
                <w:rFonts w:ascii="等线" w:hAnsi="等线" w:eastAsia="等线"/>
                <w:color w:val="000000"/>
                <w:sz w:val="22"/>
              </w:rPr>
            </w:pPr>
          </w:p>
        </w:tc>
      </w:tr>
      <w:tr w14:paraId="71850DA9">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BC1ED8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9C28B3E">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764A7A2">
            <w:pPr>
              <w:rPr>
                <w:rFonts w:hint="eastAsia" w:ascii="仿宋_GB2312" w:hAnsi="等线" w:eastAsia="仿宋_GB2312"/>
                <w:color w:val="000000"/>
              </w:rPr>
            </w:pPr>
            <w:r>
              <w:rPr>
                <w:rFonts w:hint="eastAsia" w:ascii="仿宋_GB2312" w:hAnsi="等线" w:eastAsia="仿宋_GB2312"/>
                <w:color w:val="000000"/>
              </w:rPr>
              <w:t xml:space="preserve">3.1.3 </w:t>
            </w:r>
            <w:r>
              <w:rPr>
                <w:rFonts w:hint="eastAsia"/>
                <w:color w:val="000000"/>
              </w:rPr>
              <w:t>能向客户介绍养老保险产品原理及细节。</w:t>
            </w:r>
          </w:p>
        </w:tc>
        <w:tc>
          <w:tcPr>
            <w:tcW w:w="0" w:type="auto"/>
            <w:vMerge w:val="continue"/>
            <w:tcBorders>
              <w:top w:val="nil"/>
              <w:left w:val="single" w:color="auto" w:sz="4" w:space="0"/>
              <w:bottom w:val="single" w:color="auto" w:sz="4" w:space="0"/>
              <w:right w:val="single" w:color="auto" w:sz="4" w:space="0"/>
            </w:tcBorders>
            <w:vAlign w:val="center"/>
          </w:tcPr>
          <w:p w14:paraId="7B7FD115">
            <w:pPr>
              <w:rPr>
                <w:rFonts w:ascii="等线" w:hAnsi="等线" w:eastAsia="等线"/>
                <w:color w:val="000000"/>
                <w:sz w:val="22"/>
              </w:rPr>
            </w:pPr>
          </w:p>
        </w:tc>
      </w:tr>
      <w:tr w14:paraId="1E26C6AB">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869F02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32DCC79">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F0A176B">
            <w:pPr>
              <w:rPr>
                <w:rFonts w:hint="eastAsia" w:ascii="仿宋_GB2312" w:hAnsi="等线" w:eastAsia="仿宋_GB2312"/>
                <w:color w:val="000000"/>
              </w:rPr>
            </w:pPr>
            <w:r>
              <w:rPr>
                <w:rFonts w:hint="eastAsia" w:ascii="仿宋_GB2312" w:hAnsi="等线" w:eastAsia="仿宋_GB2312"/>
                <w:color w:val="000000"/>
              </w:rPr>
              <w:t xml:space="preserve">3.1.4 </w:t>
            </w:r>
            <w:r>
              <w:rPr>
                <w:rFonts w:hint="eastAsia"/>
                <w:color w:val="000000"/>
              </w:rPr>
              <w:t>能向客户介绍医疗保险和意外保险产品原理及细节。</w:t>
            </w:r>
          </w:p>
        </w:tc>
        <w:tc>
          <w:tcPr>
            <w:tcW w:w="0" w:type="auto"/>
            <w:vMerge w:val="continue"/>
            <w:tcBorders>
              <w:top w:val="nil"/>
              <w:left w:val="single" w:color="auto" w:sz="4" w:space="0"/>
              <w:bottom w:val="single" w:color="auto" w:sz="4" w:space="0"/>
              <w:right w:val="single" w:color="auto" w:sz="4" w:space="0"/>
            </w:tcBorders>
            <w:vAlign w:val="center"/>
          </w:tcPr>
          <w:p w14:paraId="41315F6E">
            <w:pPr>
              <w:rPr>
                <w:rFonts w:ascii="等线" w:hAnsi="等线" w:eastAsia="等线"/>
                <w:color w:val="000000"/>
                <w:sz w:val="22"/>
              </w:rPr>
            </w:pPr>
          </w:p>
        </w:tc>
      </w:tr>
      <w:tr w14:paraId="4633F782">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0A06171">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3C7054B">
            <w:pPr>
              <w:rPr>
                <w:rFonts w:hint="eastAsia" w:ascii="仿宋_GB2312" w:hAnsi="等线" w:eastAsia="仿宋_GB2312"/>
                <w:color w:val="000000"/>
              </w:rPr>
            </w:pPr>
            <w:r>
              <w:rPr>
                <w:rFonts w:hint="eastAsia" w:ascii="仿宋_GB2312" w:hAnsi="等线" w:eastAsia="仿宋_GB2312"/>
                <w:color w:val="000000"/>
              </w:rPr>
              <w:t xml:space="preserve">3.2 </w:t>
            </w:r>
            <w:r>
              <w:rPr>
                <w:rFonts w:hint="eastAsia"/>
                <w:color w:val="000000"/>
              </w:rPr>
              <w:t>保险投资规划初级投研</w:t>
            </w:r>
          </w:p>
        </w:tc>
        <w:tc>
          <w:tcPr>
            <w:tcW w:w="0" w:type="auto"/>
            <w:tcBorders>
              <w:top w:val="nil"/>
              <w:left w:val="nil"/>
              <w:bottom w:val="single" w:color="auto" w:sz="4" w:space="0"/>
              <w:right w:val="single" w:color="auto" w:sz="4" w:space="0"/>
            </w:tcBorders>
            <w:shd w:val="clear" w:color="auto" w:fill="auto"/>
            <w:vAlign w:val="center"/>
          </w:tcPr>
          <w:p w14:paraId="7522CE88">
            <w:pPr>
              <w:rPr>
                <w:rFonts w:hint="eastAsia" w:ascii="仿宋_GB2312" w:hAnsi="等线" w:eastAsia="仿宋_GB2312"/>
                <w:color w:val="000000"/>
              </w:rPr>
            </w:pPr>
            <w:r>
              <w:rPr>
                <w:rFonts w:hint="eastAsia" w:ascii="仿宋_GB2312" w:hAnsi="等线" w:eastAsia="仿宋_GB2312"/>
                <w:color w:val="000000"/>
              </w:rPr>
              <w:t xml:space="preserve">3.2.1 </w:t>
            </w:r>
            <w:r>
              <w:rPr>
                <w:rFonts w:hint="eastAsia"/>
                <w:color w:val="000000"/>
              </w:rPr>
              <w:t>利用保险规划的基本工具进行初级投研。</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35A31C3">
            <w:pPr>
              <w:jc w:val="center"/>
              <w:rPr>
                <w:rFonts w:hint="eastAsia" w:ascii="等线" w:hAnsi="等线" w:eastAsia="等线"/>
                <w:color w:val="000000"/>
                <w:sz w:val="22"/>
              </w:rPr>
            </w:pPr>
            <w:r>
              <w:rPr>
                <w:rFonts w:hint="eastAsia" w:ascii="等线" w:hAnsi="等线" w:eastAsia="等线"/>
                <w:color w:val="000000"/>
                <w:sz w:val="22"/>
              </w:rPr>
              <w:t>保险规划原理、风险管理，及保险规划技术与实务、投研报告撰写与案例分析、保险营销策略知识要求。</w:t>
            </w:r>
          </w:p>
        </w:tc>
      </w:tr>
      <w:tr w14:paraId="18F0ED5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2AAFEC2">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4FC2BBA">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9262A7A">
            <w:pPr>
              <w:rPr>
                <w:rFonts w:hint="eastAsia" w:ascii="仿宋_GB2312" w:hAnsi="等线" w:eastAsia="仿宋_GB2312"/>
                <w:color w:val="000000"/>
              </w:rPr>
            </w:pPr>
            <w:r>
              <w:rPr>
                <w:rFonts w:hint="eastAsia" w:ascii="仿宋_GB2312" w:hAnsi="等线" w:eastAsia="仿宋_GB2312"/>
                <w:color w:val="000000"/>
              </w:rPr>
              <w:t xml:space="preserve">3.2.2 </w:t>
            </w:r>
            <w:r>
              <w:rPr>
                <w:rFonts w:hint="eastAsia"/>
                <w:color w:val="000000"/>
              </w:rPr>
              <w:t>利用保险规划的基本原则和流程进行投研分析。</w:t>
            </w:r>
          </w:p>
        </w:tc>
        <w:tc>
          <w:tcPr>
            <w:tcW w:w="0" w:type="auto"/>
            <w:vMerge w:val="continue"/>
            <w:tcBorders>
              <w:top w:val="nil"/>
              <w:left w:val="single" w:color="auto" w:sz="4" w:space="0"/>
              <w:bottom w:val="single" w:color="auto" w:sz="4" w:space="0"/>
              <w:right w:val="single" w:color="auto" w:sz="4" w:space="0"/>
            </w:tcBorders>
            <w:vAlign w:val="center"/>
          </w:tcPr>
          <w:p w14:paraId="28387518">
            <w:pPr>
              <w:rPr>
                <w:rFonts w:ascii="等线" w:hAnsi="等线" w:eastAsia="等线"/>
                <w:color w:val="000000"/>
                <w:sz w:val="22"/>
              </w:rPr>
            </w:pPr>
          </w:p>
        </w:tc>
      </w:tr>
      <w:tr w14:paraId="24E1971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DCDF15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0B1063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248B4B6">
            <w:pPr>
              <w:rPr>
                <w:rFonts w:hint="eastAsia" w:ascii="仿宋_GB2312" w:hAnsi="等线" w:eastAsia="仿宋_GB2312"/>
                <w:color w:val="000000"/>
              </w:rPr>
            </w:pPr>
            <w:r>
              <w:rPr>
                <w:rFonts w:hint="eastAsia" w:ascii="仿宋_GB2312" w:hAnsi="等线" w:eastAsia="仿宋_GB2312"/>
                <w:color w:val="000000"/>
              </w:rPr>
              <w:t xml:space="preserve">3.2.3 </w:t>
            </w:r>
            <w:r>
              <w:rPr>
                <w:rFonts w:hint="eastAsia"/>
                <w:color w:val="000000"/>
              </w:rPr>
              <w:t>利用保险规划原理的撰写投研报告。</w:t>
            </w:r>
          </w:p>
        </w:tc>
        <w:tc>
          <w:tcPr>
            <w:tcW w:w="0" w:type="auto"/>
            <w:vMerge w:val="continue"/>
            <w:tcBorders>
              <w:top w:val="nil"/>
              <w:left w:val="single" w:color="auto" w:sz="4" w:space="0"/>
              <w:bottom w:val="single" w:color="auto" w:sz="4" w:space="0"/>
              <w:right w:val="single" w:color="auto" w:sz="4" w:space="0"/>
            </w:tcBorders>
            <w:vAlign w:val="center"/>
          </w:tcPr>
          <w:p w14:paraId="6A499B8E">
            <w:pPr>
              <w:rPr>
                <w:rFonts w:ascii="等线" w:hAnsi="等线" w:eastAsia="等线"/>
                <w:color w:val="000000"/>
                <w:sz w:val="22"/>
              </w:rPr>
            </w:pPr>
          </w:p>
        </w:tc>
      </w:tr>
      <w:tr w14:paraId="041C7289">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D6E148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316BB0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A123E6F">
            <w:pPr>
              <w:rPr>
                <w:rFonts w:hint="eastAsia" w:ascii="仿宋_GB2312" w:hAnsi="等线" w:eastAsia="仿宋_GB2312"/>
                <w:color w:val="000000"/>
              </w:rPr>
            </w:pPr>
            <w:r>
              <w:rPr>
                <w:rFonts w:hint="eastAsia" w:ascii="仿宋_GB2312" w:hAnsi="等线" w:eastAsia="仿宋_GB2312"/>
                <w:color w:val="000000"/>
              </w:rPr>
              <w:t xml:space="preserve">3.2.4 </w:t>
            </w:r>
            <w:r>
              <w:rPr>
                <w:rFonts w:hint="eastAsia"/>
                <w:color w:val="000000"/>
              </w:rPr>
              <w:t>利用保险规划的相关案例进行营销。</w:t>
            </w:r>
          </w:p>
        </w:tc>
        <w:tc>
          <w:tcPr>
            <w:tcW w:w="0" w:type="auto"/>
            <w:vMerge w:val="continue"/>
            <w:tcBorders>
              <w:top w:val="nil"/>
              <w:left w:val="single" w:color="auto" w:sz="4" w:space="0"/>
              <w:bottom w:val="single" w:color="auto" w:sz="4" w:space="0"/>
              <w:right w:val="single" w:color="auto" w:sz="4" w:space="0"/>
            </w:tcBorders>
            <w:vAlign w:val="center"/>
          </w:tcPr>
          <w:p w14:paraId="48F1ECF6">
            <w:pPr>
              <w:rPr>
                <w:rFonts w:ascii="等线" w:hAnsi="等线" w:eastAsia="等线"/>
                <w:color w:val="000000"/>
                <w:sz w:val="22"/>
              </w:rPr>
            </w:pPr>
          </w:p>
        </w:tc>
      </w:tr>
      <w:tr w14:paraId="47BB2F10">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262AB17">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E4A6979">
            <w:pPr>
              <w:rPr>
                <w:rFonts w:hint="eastAsia" w:ascii="仿宋_GB2312" w:hAnsi="等线" w:eastAsia="仿宋_GB2312"/>
                <w:color w:val="000000"/>
              </w:rPr>
            </w:pPr>
            <w:r>
              <w:rPr>
                <w:rFonts w:hint="eastAsia" w:ascii="仿宋_GB2312" w:hAnsi="等线" w:eastAsia="仿宋_GB2312"/>
                <w:color w:val="000000"/>
              </w:rPr>
              <w:t xml:space="preserve">3.3 </w:t>
            </w:r>
            <w:r>
              <w:rPr>
                <w:rFonts w:hint="eastAsia"/>
                <w:color w:val="000000"/>
              </w:rPr>
              <w:t>智能投顾工具保险产品初级投研</w:t>
            </w:r>
          </w:p>
        </w:tc>
        <w:tc>
          <w:tcPr>
            <w:tcW w:w="0" w:type="auto"/>
            <w:tcBorders>
              <w:top w:val="nil"/>
              <w:left w:val="nil"/>
              <w:bottom w:val="single" w:color="auto" w:sz="4" w:space="0"/>
              <w:right w:val="single" w:color="auto" w:sz="4" w:space="0"/>
            </w:tcBorders>
            <w:shd w:val="clear" w:color="auto" w:fill="auto"/>
            <w:vAlign w:val="center"/>
          </w:tcPr>
          <w:p w14:paraId="77BD11CF">
            <w:pPr>
              <w:rPr>
                <w:rFonts w:hint="eastAsia" w:ascii="仿宋_GB2312" w:hAnsi="等线" w:eastAsia="仿宋_GB2312"/>
                <w:color w:val="000000"/>
              </w:rPr>
            </w:pPr>
            <w:r>
              <w:rPr>
                <w:rFonts w:hint="eastAsia" w:ascii="仿宋_GB2312" w:hAnsi="等线" w:eastAsia="仿宋_GB2312"/>
                <w:color w:val="000000"/>
              </w:rPr>
              <w:t xml:space="preserve">3.3.1 </w:t>
            </w:r>
            <w:r>
              <w:rPr>
                <w:rFonts w:hint="eastAsia"/>
                <w:color w:val="000000"/>
              </w:rPr>
              <w:t>能够通过智能投顾工具搜索和查询相人参保险和健康保险产品。</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B611DA6">
            <w:pPr>
              <w:jc w:val="center"/>
              <w:rPr>
                <w:rFonts w:hint="eastAsia" w:ascii="等线" w:hAnsi="等线" w:eastAsia="等线"/>
                <w:color w:val="000000"/>
                <w:sz w:val="22"/>
              </w:rPr>
            </w:pPr>
            <w:r>
              <w:rPr>
                <w:rFonts w:hint="eastAsia" w:ascii="等线" w:hAnsi="等线" w:eastAsia="等线"/>
                <w:color w:val="000000"/>
                <w:sz w:val="22"/>
              </w:rPr>
              <w:t>保险产品与市场，及智能投顾在保险领域应用、保险产品搜索与评估、保险方案设计知识要求。</w:t>
            </w:r>
          </w:p>
        </w:tc>
      </w:tr>
      <w:tr w14:paraId="7666A93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30956C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852BB3A">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8E57D0F">
            <w:pPr>
              <w:rPr>
                <w:rFonts w:hint="eastAsia" w:ascii="仿宋_GB2312" w:hAnsi="等线" w:eastAsia="仿宋_GB2312"/>
                <w:color w:val="000000"/>
              </w:rPr>
            </w:pPr>
            <w:r>
              <w:rPr>
                <w:rFonts w:hint="eastAsia" w:ascii="仿宋_GB2312" w:hAnsi="等线" w:eastAsia="仿宋_GB2312"/>
                <w:color w:val="000000"/>
              </w:rPr>
              <w:t xml:space="preserve">3.3.2 </w:t>
            </w:r>
            <w:r>
              <w:rPr>
                <w:rFonts w:hint="eastAsia"/>
                <w:color w:val="000000"/>
              </w:rPr>
              <w:t>能够通过智能投顾工具搜索和查询养老保险产品。</w:t>
            </w:r>
          </w:p>
        </w:tc>
        <w:tc>
          <w:tcPr>
            <w:tcW w:w="0" w:type="auto"/>
            <w:vMerge w:val="continue"/>
            <w:tcBorders>
              <w:top w:val="nil"/>
              <w:left w:val="single" w:color="auto" w:sz="4" w:space="0"/>
              <w:bottom w:val="single" w:color="auto" w:sz="4" w:space="0"/>
              <w:right w:val="single" w:color="auto" w:sz="4" w:space="0"/>
            </w:tcBorders>
            <w:vAlign w:val="center"/>
          </w:tcPr>
          <w:p w14:paraId="06FB6BE3">
            <w:pPr>
              <w:rPr>
                <w:rFonts w:ascii="等线" w:hAnsi="等线" w:eastAsia="等线"/>
                <w:color w:val="000000"/>
                <w:sz w:val="22"/>
              </w:rPr>
            </w:pPr>
          </w:p>
        </w:tc>
      </w:tr>
      <w:tr w14:paraId="2212D370">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B76CDA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7BCEA9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57FA787">
            <w:pPr>
              <w:rPr>
                <w:rFonts w:hint="eastAsia" w:ascii="仿宋_GB2312" w:hAnsi="等线" w:eastAsia="仿宋_GB2312"/>
                <w:color w:val="000000"/>
              </w:rPr>
            </w:pPr>
            <w:r>
              <w:rPr>
                <w:rFonts w:hint="eastAsia" w:ascii="仿宋_GB2312" w:hAnsi="等线" w:eastAsia="仿宋_GB2312"/>
                <w:color w:val="000000"/>
              </w:rPr>
              <w:t xml:space="preserve">3.3.3 </w:t>
            </w:r>
            <w:r>
              <w:rPr>
                <w:rFonts w:hint="eastAsia"/>
                <w:color w:val="000000"/>
              </w:rPr>
              <w:t>能够通过智能投顾工具搜索和查询医疗保险和意外保险产品。</w:t>
            </w:r>
          </w:p>
        </w:tc>
        <w:tc>
          <w:tcPr>
            <w:tcW w:w="0" w:type="auto"/>
            <w:vMerge w:val="continue"/>
            <w:tcBorders>
              <w:top w:val="nil"/>
              <w:left w:val="single" w:color="auto" w:sz="4" w:space="0"/>
              <w:bottom w:val="single" w:color="auto" w:sz="4" w:space="0"/>
              <w:right w:val="single" w:color="auto" w:sz="4" w:space="0"/>
            </w:tcBorders>
            <w:vAlign w:val="center"/>
          </w:tcPr>
          <w:p w14:paraId="2D4A9A6B">
            <w:pPr>
              <w:rPr>
                <w:rFonts w:ascii="等线" w:hAnsi="等线" w:eastAsia="等线"/>
                <w:color w:val="000000"/>
                <w:sz w:val="22"/>
              </w:rPr>
            </w:pPr>
          </w:p>
        </w:tc>
      </w:tr>
      <w:tr w14:paraId="37ECF7F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7463DFD">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CC4E5A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8AA3FB5">
            <w:pPr>
              <w:rPr>
                <w:rFonts w:hint="eastAsia" w:ascii="仿宋_GB2312" w:hAnsi="等线" w:eastAsia="仿宋_GB2312"/>
                <w:color w:val="000000"/>
              </w:rPr>
            </w:pPr>
            <w:r>
              <w:rPr>
                <w:rFonts w:hint="eastAsia" w:ascii="仿宋_GB2312" w:hAnsi="等线" w:eastAsia="仿宋_GB2312"/>
                <w:color w:val="000000"/>
              </w:rPr>
              <w:t xml:space="preserve">3.3.4 </w:t>
            </w:r>
            <w:r>
              <w:rPr>
                <w:rFonts w:hint="eastAsia"/>
                <w:color w:val="000000"/>
              </w:rPr>
              <w:t>能够通过智能投顾工具对各类保险产品进行分类和初步比较。</w:t>
            </w:r>
          </w:p>
        </w:tc>
        <w:tc>
          <w:tcPr>
            <w:tcW w:w="0" w:type="auto"/>
            <w:vMerge w:val="continue"/>
            <w:tcBorders>
              <w:top w:val="nil"/>
              <w:left w:val="single" w:color="auto" w:sz="4" w:space="0"/>
              <w:bottom w:val="single" w:color="auto" w:sz="4" w:space="0"/>
              <w:right w:val="single" w:color="auto" w:sz="4" w:space="0"/>
            </w:tcBorders>
            <w:vAlign w:val="center"/>
          </w:tcPr>
          <w:p w14:paraId="165AE417">
            <w:pPr>
              <w:rPr>
                <w:rFonts w:ascii="等线" w:hAnsi="等线" w:eastAsia="等线"/>
                <w:color w:val="000000"/>
                <w:sz w:val="22"/>
              </w:rPr>
            </w:pPr>
          </w:p>
        </w:tc>
      </w:tr>
      <w:tr w14:paraId="7D040267">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8F15549">
            <w:pPr>
              <w:rPr>
                <w:rFonts w:hint="eastAsia" w:ascii="仿宋_GB2312" w:hAnsi="等线" w:eastAsia="仿宋_GB2312"/>
                <w:color w:val="000000"/>
              </w:rPr>
            </w:pPr>
            <w:r>
              <w:rPr>
                <w:rFonts w:hint="eastAsia" w:ascii="仿宋_GB2312" w:hAnsi="等线" w:eastAsia="仿宋_GB2312"/>
                <w:color w:val="000000"/>
              </w:rPr>
              <w:t>4.</w:t>
            </w:r>
            <w:r>
              <w:rPr>
                <w:rFonts w:hint="eastAsia"/>
                <w:color w:val="000000"/>
              </w:rPr>
              <w:t>理财规划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D619ED8">
            <w:pPr>
              <w:rPr>
                <w:rFonts w:hint="eastAsia" w:ascii="仿宋_GB2312" w:hAnsi="等线" w:eastAsia="仿宋_GB2312"/>
                <w:color w:val="000000"/>
              </w:rPr>
            </w:pPr>
            <w:r>
              <w:rPr>
                <w:rFonts w:hint="eastAsia" w:ascii="仿宋_GB2312" w:hAnsi="等线" w:eastAsia="仿宋_GB2312"/>
                <w:color w:val="000000"/>
              </w:rPr>
              <w:t xml:space="preserve">4.1 </w:t>
            </w:r>
            <w:r>
              <w:rPr>
                <w:rFonts w:hint="eastAsia"/>
                <w:color w:val="000000"/>
              </w:rPr>
              <w:t>理财产品基础知识初步学习掌握</w:t>
            </w:r>
          </w:p>
        </w:tc>
        <w:tc>
          <w:tcPr>
            <w:tcW w:w="0" w:type="auto"/>
            <w:tcBorders>
              <w:top w:val="nil"/>
              <w:left w:val="nil"/>
              <w:bottom w:val="single" w:color="auto" w:sz="4" w:space="0"/>
              <w:right w:val="single" w:color="auto" w:sz="4" w:space="0"/>
            </w:tcBorders>
            <w:shd w:val="clear" w:color="auto" w:fill="auto"/>
            <w:vAlign w:val="center"/>
          </w:tcPr>
          <w:p w14:paraId="2517AFB1">
            <w:pPr>
              <w:rPr>
                <w:rFonts w:hint="eastAsia" w:ascii="仿宋_GB2312" w:hAnsi="等线" w:eastAsia="仿宋_GB2312"/>
                <w:color w:val="000000"/>
              </w:rPr>
            </w:pPr>
            <w:r>
              <w:rPr>
                <w:rFonts w:hint="eastAsia" w:ascii="仿宋_GB2312" w:hAnsi="等线" w:eastAsia="仿宋_GB2312"/>
                <w:color w:val="000000"/>
              </w:rPr>
              <w:t xml:space="preserve">4.1.1 </w:t>
            </w:r>
            <w:r>
              <w:rPr>
                <w:rFonts w:hint="eastAsia"/>
                <w:color w:val="000000"/>
              </w:rPr>
              <w:t>能利用理财产品的相关基础知识进行初级投研。</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8BBF072">
            <w:pPr>
              <w:jc w:val="center"/>
              <w:rPr>
                <w:rFonts w:hint="eastAsia" w:ascii="等线" w:hAnsi="等线" w:eastAsia="等线"/>
                <w:color w:val="000000"/>
                <w:sz w:val="22"/>
              </w:rPr>
            </w:pPr>
            <w:r>
              <w:rPr>
                <w:rFonts w:hint="eastAsia" w:ascii="等线" w:hAnsi="等线" w:eastAsia="等线"/>
                <w:color w:val="000000"/>
                <w:sz w:val="22"/>
              </w:rPr>
              <w:t>个人理财、金融产品分析，及理财产品设计与管理、风险收益评估方法、银行理财业务与监管知识要求。</w:t>
            </w:r>
          </w:p>
        </w:tc>
      </w:tr>
      <w:tr w14:paraId="01D0516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DDD2414">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7BDD414">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87DE1AD">
            <w:pPr>
              <w:rPr>
                <w:rFonts w:hint="eastAsia" w:ascii="仿宋_GB2312" w:hAnsi="等线" w:eastAsia="仿宋_GB2312"/>
                <w:color w:val="000000"/>
              </w:rPr>
            </w:pPr>
            <w:r>
              <w:rPr>
                <w:rFonts w:hint="eastAsia" w:ascii="仿宋_GB2312" w:hAnsi="等线" w:eastAsia="仿宋_GB2312"/>
                <w:color w:val="000000"/>
              </w:rPr>
              <w:t xml:space="preserve">4.1.2 </w:t>
            </w:r>
            <w:r>
              <w:rPr>
                <w:rFonts w:hint="eastAsia"/>
                <w:color w:val="000000"/>
              </w:rPr>
              <w:t>能够对客户进行理财产品的风险收益评价。</w:t>
            </w:r>
          </w:p>
        </w:tc>
        <w:tc>
          <w:tcPr>
            <w:tcW w:w="0" w:type="auto"/>
            <w:vMerge w:val="continue"/>
            <w:tcBorders>
              <w:top w:val="nil"/>
              <w:left w:val="single" w:color="auto" w:sz="4" w:space="0"/>
              <w:bottom w:val="single" w:color="auto" w:sz="4" w:space="0"/>
              <w:right w:val="single" w:color="auto" w:sz="4" w:space="0"/>
            </w:tcBorders>
            <w:vAlign w:val="center"/>
          </w:tcPr>
          <w:p w14:paraId="70477E97">
            <w:pPr>
              <w:rPr>
                <w:rFonts w:ascii="等线" w:hAnsi="等线" w:eastAsia="等线"/>
                <w:color w:val="000000"/>
                <w:sz w:val="22"/>
              </w:rPr>
            </w:pPr>
          </w:p>
        </w:tc>
      </w:tr>
      <w:tr w14:paraId="026D852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FCFC1A6">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044BFFE">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8865713">
            <w:pPr>
              <w:rPr>
                <w:rFonts w:hint="eastAsia" w:ascii="仿宋_GB2312" w:hAnsi="等线" w:eastAsia="仿宋_GB2312"/>
                <w:color w:val="000000"/>
              </w:rPr>
            </w:pPr>
            <w:r>
              <w:rPr>
                <w:rFonts w:hint="eastAsia" w:ascii="仿宋_GB2312" w:hAnsi="等线" w:eastAsia="仿宋_GB2312"/>
                <w:color w:val="000000"/>
              </w:rPr>
              <w:t xml:space="preserve">4.1.3 </w:t>
            </w:r>
            <w:r>
              <w:rPr>
                <w:rFonts w:hint="eastAsia"/>
                <w:color w:val="000000"/>
              </w:rPr>
              <w:t>能够比较分析各类理财产品。</w:t>
            </w:r>
          </w:p>
        </w:tc>
        <w:tc>
          <w:tcPr>
            <w:tcW w:w="0" w:type="auto"/>
            <w:vMerge w:val="continue"/>
            <w:tcBorders>
              <w:top w:val="nil"/>
              <w:left w:val="single" w:color="auto" w:sz="4" w:space="0"/>
              <w:bottom w:val="single" w:color="auto" w:sz="4" w:space="0"/>
              <w:right w:val="single" w:color="auto" w:sz="4" w:space="0"/>
            </w:tcBorders>
            <w:vAlign w:val="center"/>
          </w:tcPr>
          <w:p w14:paraId="54C77201">
            <w:pPr>
              <w:rPr>
                <w:rFonts w:ascii="等线" w:hAnsi="等线" w:eastAsia="等线"/>
                <w:color w:val="000000"/>
                <w:sz w:val="22"/>
              </w:rPr>
            </w:pPr>
          </w:p>
        </w:tc>
      </w:tr>
      <w:tr w14:paraId="683C8A0C">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E9AF001">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8F63C58">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975CE9D">
            <w:pPr>
              <w:rPr>
                <w:rFonts w:hint="eastAsia" w:ascii="仿宋_GB2312" w:hAnsi="等线" w:eastAsia="仿宋_GB2312"/>
                <w:color w:val="000000"/>
              </w:rPr>
            </w:pPr>
            <w:r>
              <w:rPr>
                <w:rFonts w:hint="eastAsia" w:ascii="仿宋_GB2312" w:hAnsi="等线" w:eastAsia="仿宋_GB2312"/>
                <w:color w:val="000000"/>
              </w:rPr>
              <w:t xml:space="preserve">4.1.4 </w:t>
            </w:r>
            <w:r>
              <w:rPr>
                <w:rFonts w:hint="eastAsia"/>
                <w:color w:val="000000"/>
              </w:rPr>
              <w:t>能够利用银行从业资格相关理财知识进行初级投研价值分析。</w:t>
            </w:r>
          </w:p>
        </w:tc>
        <w:tc>
          <w:tcPr>
            <w:tcW w:w="0" w:type="auto"/>
            <w:vMerge w:val="continue"/>
            <w:tcBorders>
              <w:top w:val="nil"/>
              <w:left w:val="single" w:color="auto" w:sz="4" w:space="0"/>
              <w:bottom w:val="single" w:color="auto" w:sz="4" w:space="0"/>
              <w:right w:val="single" w:color="auto" w:sz="4" w:space="0"/>
            </w:tcBorders>
            <w:vAlign w:val="center"/>
          </w:tcPr>
          <w:p w14:paraId="3784444A">
            <w:pPr>
              <w:rPr>
                <w:rFonts w:ascii="等线" w:hAnsi="等线" w:eastAsia="等线"/>
                <w:color w:val="000000"/>
                <w:sz w:val="22"/>
              </w:rPr>
            </w:pPr>
          </w:p>
        </w:tc>
      </w:tr>
      <w:tr w14:paraId="1547AF7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588CCEA">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C2A360E">
            <w:pPr>
              <w:rPr>
                <w:rFonts w:hint="eastAsia" w:ascii="仿宋_GB2312" w:hAnsi="等线" w:eastAsia="仿宋_GB2312"/>
                <w:color w:val="000000"/>
              </w:rPr>
            </w:pPr>
            <w:r>
              <w:rPr>
                <w:rFonts w:hint="eastAsia" w:ascii="仿宋_GB2312" w:hAnsi="等线" w:eastAsia="仿宋_GB2312"/>
                <w:color w:val="000000"/>
              </w:rPr>
              <w:t xml:space="preserve">4.2 </w:t>
            </w:r>
            <w:r>
              <w:rPr>
                <w:rFonts w:hint="eastAsia"/>
                <w:color w:val="000000"/>
              </w:rPr>
              <w:t>理财规划基础知识初步学习掌握</w:t>
            </w:r>
          </w:p>
        </w:tc>
        <w:tc>
          <w:tcPr>
            <w:tcW w:w="0" w:type="auto"/>
            <w:tcBorders>
              <w:top w:val="nil"/>
              <w:left w:val="nil"/>
              <w:bottom w:val="single" w:color="auto" w:sz="4" w:space="0"/>
              <w:right w:val="single" w:color="auto" w:sz="4" w:space="0"/>
            </w:tcBorders>
            <w:shd w:val="clear" w:color="auto" w:fill="auto"/>
            <w:vAlign w:val="center"/>
          </w:tcPr>
          <w:p w14:paraId="1A68731B">
            <w:pPr>
              <w:rPr>
                <w:rFonts w:hint="eastAsia" w:ascii="仿宋_GB2312" w:hAnsi="等线" w:eastAsia="仿宋_GB2312"/>
                <w:color w:val="000000"/>
              </w:rPr>
            </w:pPr>
            <w:r>
              <w:rPr>
                <w:rFonts w:hint="eastAsia" w:ascii="仿宋_GB2312" w:hAnsi="等线" w:eastAsia="仿宋_GB2312"/>
                <w:color w:val="000000"/>
              </w:rPr>
              <w:t xml:space="preserve">4.2.1 </w:t>
            </w:r>
            <w:r>
              <w:rPr>
                <w:rFonts w:hint="eastAsia"/>
                <w:color w:val="000000"/>
              </w:rPr>
              <w:t>能够通过理财规划的相关基础知识进行初级投研分析。</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414993E">
            <w:pPr>
              <w:jc w:val="center"/>
              <w:rPr>
                <w:rFonts w:hint="eastAsia" w:ascii="等线" w:hAnsi="等线" w:eastAsia="等线"/>
                <w:color w:val="000000"/>
                <w:sz w:val="22"/>
              </w:rPr>
            </w:pPr>
            <w:r>
              <w:rPr>
                <w:rFonts w:hint="eastAsia" w:ascii="等线" w:hAnsi="等线" w:eastAsia="等线"/>
                <w:color w:val="000000"/>
                <w:sz w:val="22"/>
              </w:rPr>
              <w:t>理财规划原理、金融市场分析，及理财规划实务、客户风险偏好评估、资产配置策略、家庭理财规划研究知识要求。</w:t>
            </w:r>
          </w:p>
        </w:tc>
      </w:tr>
      <w:tr w14:paraId="70A4C65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A238786">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0132653">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9B227BA">
            <w:pPr>
              <w:rPr>
                <w:rFonts w:hint="eastAsia" w:ascii="仿宋_GB2312" w:hAnsi="等线" w:eastAsia="仿宋_GB2312"/>
                <w:color w:val="000000"/>
              </w:rPr>
            </w:pPr>
            <w:r>
              <w:rPr>
                <w:rFonts w:hint="eastAsia" w:ascii="仿宋_GB2312" w:hAnsi="等线" w:eastAsia="仿宋_GB2312"/>
                <w:color w:val="000000"/>
              </w:rPr>
              <w:t xml:space="preserve">4.2.2 </w:t>
            </w:r>
            <w:r>
              <w:rPr>
                <w:rFonts w:hint="eastAsia"/>
                <w:color w:val="000000"/>
              </w:rPr>
              <w:t>能够对客户进行理财规划的风险偏好调查。</w:t>
            </w:r>
          </w:p>
        </w:tc>
        <w:tc>
          <w:tcPr>
            <w:tcW w:w="0" w:type="auto"/>
            <w:vMerge w:val="continue"/>
            <w:tcBorders>
              <w:top w:val="nil"/>
              <w:left w:val="single" w:color="auto" w:sz="4" w:space="0"/>
              <w:bottom w:val="single" w:color="auto" w:sz="4" w:space="0"/>
              <w:right w:val="single" w:color="auto" w:sz="4" w:space="0"/>
            </w:tcBorders>
            <w:vAlign w:val="center"/>
          </w:tcPr>
          <w:p w14:paraId="02AAE1CA">
            <w:pPr>
              <w:rPr>
                <w:rFonts w:ascii="等线" w:hAnsi="等线" w:eastAsia="等线"/>
                <w:color w:val="000000"/>
                <w:sz w:val="22"/>
              </w:rPr>
            </w:pPr>
          </w:p>
        </w:tc>
      </w:tr>
      <w:tr w14:paraId="30E64970">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C59EE24">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111D9A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4D6EDC0">
            <w:pPr>
              <w:rPr>
                <w:rFonts w:hint="eastAsia" w:ascii="仿宋_GB2312" w:hAnsi="等线" w:eastAsia="仿宋_GB2312"/>
                <w:color w:val="000000"/>
              </w:rPr>
            </w:pPr>
            <w:r>
              <w:rPr>
                <w:rFonts w:hint="eastAsia" w:ascii="仿宋_GB2312" w:hAnsi="等线" w:eastAsia="仿宋_GB2312"/>
                <w:color w:val="000000"/>
              </w:rPr>
              <w:t xml:space="preserve">4.2.3 </w:t>
            </w:r>
            <w:r>
              <w:rPr>
                <w:rFonts w:hint="eastAsia"/>
                <w:color w:val="000000"/>
              </w:rPr>
              <w:t>能够掌握理财规划的基本流程和步骤。</w:t>
            </w:r>
          </w:p>
        </w:tc>
        <w:tc>
          <w:tcPr>
            <w:tcW w:w="0" w:type="auto"/>
            <w:vMerge w:val="continue"/>
            <w:tcBorders>
              <w:top w:val="nil"/>
              <w:left w:val="single" w:color="auto" w:sz="4" w:space="0"/>
              <w:bottom w:val="single" w:color="auto" w:sz="4" w:space="0"/>
              <w:right w:val="single" w:color="auto" w:sz="4" w:space="0"/>
            </w:tcBorders>
            <w:vAlign w:val="center"/>
          </w:tcPr>
          <w:p w14:paraId="046BA6AF">
            <w:pPr>
              <w:rPr>
                <w:rFonts w:ascii="等线" w:hAnsi="等线" w:eastAsia="等线"/>
                <w:color w:val="000000"/>
                <w:sz w:val="22"/>
              </w:rPr>
            </w:pPr>
          </w:p>
        </w:tc>
      </w:tr>
      <w:tr w14:paraId="72665A1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D9C1A91">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8B3EE17">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9C1B1C8">
            <w:pPr>
              <w:rPr>
                <w:rFonts w:hint="eastAsia" w:ascii="仿宋_GB2312" w:hAnsi="等线" w:eastAsia="仿宋_GB2312"/>
                <w:color w:val="000000"/>
              </w:rPr>
            </w:pPr>
            <w:r>
              <w:rPr>
                <w:rFonts w:hint="eastAsia" w:ascii="仿宋_GB2312" w:hAnsi="等线" w:eastAsia="仿宋_GB2312"/>
                <w:color w:val="000000"/>
              </w:rPr>
              <w:t xml:space="preserve">4.2.4 </w:t>
            </w:r>
            <w:r>
              <w:rPr>
                <w:rFonts w:hint="eastAsia"/>
                <w:color w:val="000000"/>
              </w:rPr>
              <w:t>能够针对家庭及个人理财规划的基本需求、资产配置目标等撰写投研报告。</w:t>
            </w:r>
          </w:p>
        </w:tc>
        <w:tc>
          <w:tcPr>
            <w:tcW w:w="0" w:type="auto"/>
            <w:vMerge w:val="continue"/>
            <w:tcBorders>
              <w:top w:val="nil"/>
              <w:left w:val="single" w:color="auto" w:sz="4" w:space="0"/>
              <w:bottom w:val="single" w:color="auto" w:sz="4" w:space="0"/>
              <w:right w:val="single" w:color="auto" w:sz="4" w:space="0"/>
            </w:tcBorders>
            <w:vAlign w:val="center"/>
          </w:tcPr>
          <w:p w14:paraId="46CE4628">
            <w:pPr>
              <w:rPr>
                <w:rFonts w:ascii="等线" w:hAnsi="等线" w:eastAsia="等线"/>
                <w:color w:val="000000"/>
                <w:sz w:val="22"/>
              </w:rPr>
            </w:pPr>
          </w:p>
        </w:tc>
      </w:tr>
    </w:tbl>
    <w:p w14:paraId="02D1A4EE">
      <w:pPr>
        <w:snapToGrid w:val="0"/>
        <w:spacing w:line="600" w:lineRule="exact"/>
        <w:jc w:val="center"/>
        <w:rPr>
          <w:rFonts w:hint="eastAsia" w:ascii="黑体" w:hAnsi="黑体" w:eastAsia="黑体"/>
        </w:rPr>
      </w:pPr>
    </w:p>
    <w:p w14:paraId="3FB0E98C">
      <w:pPr>
        <w:snapToGrid w:val="0"/>
        <w:spacing w:line="600" w:lineRule="exact"/>
        <w:jc w:val="center"/>
        <w:rPr>
          <w:rFonts w:hint="eastAsia"/>
        </w:rPr>
      </w:pPr>
      <w:r>
        <w:rPr>
          <w:rFonts w:hint="eastAsia" w:ascii="黑体" w:hAnsi="黑体" w:eastAsia="黑体"/>
        </w:rPr>
        <w:t>表</w:t>
      </w:r>
      <w:r>
        <w:rPr>
          <w:rFonts w:ascii="黑体" w:hAnsi="黑体" w:eastAsia="黑体"/>
        </w:rPr>
        <w:t>2</w:t>
      </w:r>
      <w:r>
        <w:rPr>
          <w:rFonts w:hint="eastAsia" w:ascii="黑体" w:hAnsi="黑体" w:eastAsia="黑体"/>
        </w:rPr>
        <w:t xml:space="preserve"> 智能投顾职业能力要求（中级）</w:t>
      </w:r>
    </w:p>
    <w:tbl>
      <w:tblPr>
        <w:tblStyle w:val="9"/>
        <w:tblW w:w="0" w:type="auto"/>
        <w:tblInd w:w="0" w:type="dxa"/>
        <w:tblLayout w:type="autofit"/>
        <w:tblCellMar>
          <w:top w:w="0" w:type="dxa"/>
          <w:left w:w="108" w:type="dxa"/>
          <w:bottom w:w="0" w:type="dxa"/>
          <w:right w:w="108" w:type="dxa"/>
        </w:tblCellMar>
      </w:tblPr>
      <w:tblGrid>
        <w:gridCol w:w="870"/>
        <w:gridCol w:w="1136"/>
        <w:gridCol w:w="3226"/>
        <w:gridCol w:w="3290"/>
      </w:tblGrid>
      <w:tr w14:paraId="4D8593FB">
        <w:tblPrEx>
          <w:tblCellMar>
            <w:top w:w="0" w:type="dxa"/>
            <w:left w:w="108" w:type="dxa"/>
            <w:bottom w:w="0" w:type="dxa"/>
            <w:right w:w="108" w:type="dxa"/>
          </w:tblCellMar>
        </w:tblPrEx>
        <w:trPr>
          <w:trHeight w:val="54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B35385B">
            <w:pPr>
              <w:jc w:val="center"/>
              <w:rPr>
                <w:rFonts w:ascii="黑体" w:hAnsi="黑体" w:eastAsia="黑体"/>
                <w:color w:val="000000"/>
              </w:rPr>
            </w:pPr>
            <w:r>
              <w:rPr>
                <w:rFonts w:hint="eastAsia" w:ascii="黑体" w:hAnsi="黑体" w:eastAsia="黑体"/>
                <w:color w:val="000000"/>
              </w:rPr>
              <w:t>工作领域</w:t>
            </w:r>
          </w:p>
        </w:tc>
        <w:tc>
          <w:tcPr>
            <w:tcW w:w="0" w:type="auto"/>
            <w:tcBorders>
              <w:top w:val="single" w:color="auto" w:sz="4" w:space="0"/>
              <w:left w:val="nil"/>
              <w:bottom w:val="single" w:color="auto" w:sz="4" w:space="0"/>
              <w:right w:val="single" w:color="auto" w:sz="4" w:space="0"/>
            </w:tcBorders>
            <w:shd w:val="clear" w:color="auto" w:fill="auto"/>
            <w:vAlign w:val="center"/>
          </w:tcPr>
          <w:p w14:paraId="63BFB161">
            <w:pPr>
              <w:jc w:val="center"/>
              <w:rPr>
                <w:rFonts w:hint="eastAsia" w:ascii="黑体" w:hAnsi="黑体" w:eastAsia="黑体"/>
                <w:color w:val="000000"/>
              </w:rPr>
            </w:pPr>
            <w:r>
              <w:rPr>
                <w:rFonts w:hint="eastAsia" w:ascii="黑体" w:hAnsi="黑体" w:eastAsia="黑体"/>
                <w:color w:val="000000"/>
              </w:rPr>
              <w:t>工作任务</w:t>
            </w:r>
          </w:p>
        </w:tc>
        <w:tc>
          <w:tcPr>
            <w:tcW w:w="0" w:type="auto"/>
            <w:tcBorders>
              <w:top w:val="single" w:color="auto" w:sz="4" w:space="0"/>
              <w:left w:val="nil"/>
              <w:bottom w:val="single" w:color="auto" w:sz="4" w:space="0"/>
              <w:right w:val="single" w:color="auto" w:sz="4" w:space="0"/>
            </w:tcBorders>
            <w:shd w:val="clear" w:color="auto" w:fill="auto"/>
            <w:vAlign w:val="center"/>
          </w:tcPr>
          <w:p w14:paraId="4C04CA87">
            <w:pPr>
              <w:jc w:val="center"/>
              <w:rPr>
                <w:rFonts w:hint="eastAsia" w:ascii="黑体" w:hAnsi="黑体" w:eastAsia="黑体"/>
                <w:color w:val="000000"/>
              </w:rPr>
            </w:pPr>
            <w:r>
              <w:rPr>
                <w:rFonts w:hint="eastAsia" w:ascii="黑体" w:hAnsi="黑体" w:eastAsia="黑体"/>
                <w:color w:val="000000"/>
              </w:rPr>
              <w:t>职业能力要求</w:t>
            </w:r>
          </w:p>
        </w:tc>
        <w:tc>
          <w:tcPr>
            <w:tcW w:w="0" w:type="auto"/>
            <w:tcBorders>
              <w:top w:val="single" w:color="auto" w:sz="4" w:space="0"/>
              <w:left w:val="nil"/>
              <w:bottom w:val="single" w:color="auto" w:sz="4" w:space="0"/>
              <w:right w:val="single" w:color="auto" w:sz="4" w:space="0"/>
            </w:tcBorders>
            <w:shd w:val="clear" w:color="auto" w:fill="auto"/>
            <w:vAlign w:val="center"/>
          </w:tcPr>
          <w:p w14:paraId="6EDA7348">
            <w:pPr>
              <w:jc w:val="center"/>
              <w:rPr>
                <w:rFonts w:hint="eastAsia" w:ascii="黑体" w:hAnsi="黑体" w:eastAsia="黑体"/>
                <w:color w:val="000000"/>
              </w:rPr>
            </w:pPr>
            <w:r>
              <w:rPr>
                <w:rFonts w:hint="eastAsia" w:ascii="黑体" w:hAnsi="黑体" w:eastAsia="黑体"/>
                <w:color w:val="000000"/>
              </w:rPr>
              <w:t>相关知识要求</w:t>
            </w:r>
          </w:p>
        </w:tc>
      </w:tr>
      <w:tr w14:paraId="5487EBA4">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88AE3B8">
            <w:pPr>
              <w:rPr>
                <w:rFonts w:hint="eastAsia" w:ascii="仿宋_GB2312" w:hAnsi="等线" w:eastAsia="仿宋_GB2312"/>
                <w:color w:val="000000"/>
              </w:rPr>
            </w:pPr>
            <w:r>
              <w:rPr>
                <w:rFonts w:hint="eastAsia" w:ascii="仿宋_GB2312" w:hAnsi="等线" w:eastAsia="仿宋_GB2312"/>
                <w:color w:val="000000"/>
              </w:rPr>
              <w:t xml:space="preserve">1. </w:t>
            </w:r>
            <w:r>
              <w:rPr>
                <w:rFonts w:hint="eastAsia"/>
                <w:color w:val="000000"/>
              </w:rPr>
              <w:t>智能投顾产品规划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34ED406">
            <w:pPr>
              <w:rPr>
                <w:rFonts w:hint="eastAsia" w:ascii="仿宋_GB2312" w:hAnsi="等线" w:eastAsia="仿宋_GB2312"/>
                <w:color w:val="000000"/>
              </w:rPr>
            </w:pPr>
            <w:r>
              <w:rPr>
                <w:rFonts w:hint="eastAsia" w:ascii="仿宋_GB2312" w:hAnsi="等线" w:eastAsia="仿宋_GB2312"/>
                <w:color w:val="000000"/>
              </w:rPr>
              <w:t xml:space="preserve">1.1 </w:t>
            </w:r>
            <w:r>
              <w:rPr>
                <w:rFonts w:hint="eastAsia"/>
                <w:color w:val="000000"/>
              </w:rPr>
              <w:t>客群精准营销</w:t>
            </w:r>
          </w:p>
        </w:tc>
        <w:tc>
          <w:tcPr>
            <w:tcW w:w="0" w:type="auto"/>
            <w:tcBorders>
              <w:top w:val="nil"/>
              <w:left w:val="nil"/>
              <w:bottom w:val="single" w:color="auto" w:sz="4" w:space="0"/>
              <w:right w:val="single" w:color="auto" w:sz="4" w:space="0"/>
            </w:tcBorders>
            <w:shd w:val="clear" w:color="auto" w:fill="auto"/>
            <w:vAlign w:val="center"/>
          </w:tcPr>
          <w:p w14:paraId="2228BD47">
            <w:pPr>
              <w:rPr>
                <w:rFonts w:hint="eastAsia" w:ascii="仿宋_GB2312" w:hAnsi="等线" w:eastAsia="仿宋_GB2312"/>
                <w:color w:val="000000"/>
              </w:rPr>
            </w:pPr>
            <w:r>
              <w:rPr>
                <w:rFonts w:hint="eastAsia" w:ascii="仿宋_GB2312" w:hAnsi="等线" w:eastAsia="仿宋_GB2312"/>
                <w:color w:val="000000"/>
              </w:rPr>
              <w:t xml:space="preserve">1.1.1 </w:t>
            </w:r>
            <w:r>
              <w:rPr>
                <w:rFonts w:hint="eastAsia"/>
                <w:color w:val="000000"/>
              </w:rPr>
              <w:t>能够掌握各类智能投顾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）中各模块的功能。</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FF21121">
            <w:pPr>
              <w:jc w:val="center"/>
              <w:rPr>
                <w:rFonts w:hint="eastAsia" w:ascii="等线" w:hAnsi="等线" w:eastAsia="等线"/>
                <w:color w:val="000000"/>
                <w:sz w:val="22"/>
              </w:rPr>
            </w:pPr>
            <w:r>
              <w:rPr>
                <w:rFonts w:hint="eastAsia" w:ascii="等线" w:hAnsi="等线" w:eastAsia="等线"/>
                <w:color w:val="000000"/>
                <w:sz w:val="22"/>
              </w:rPr>
              <w:t>金融科技应用、网络营销策略课程，及智能投顾系统操作、金融互联网营销实践、客户管理与数据分析、定向营销策略知识要求。</w:t>
            </w:r>
          </w:p>
        </w:tc>
      </w:tr>
      <w:tr w14:paraId="16096BA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D67C572">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10EA293">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97F9420">
            <w:pPr>
              <w:rPr>
                <w:rFonts w:hint="eastAsia" w:ascii="仿宋_GB2312" w:hAnsi="等线" w:eastAsia="仿宋_GB2312"/>
                <w:color w:val="000000"/>
              </w:rPr>
            </w:pPr>
            <w:r>
              <w:rPr>
                <w:rFonts w:hint="eastAsia" w:ascii="仿宋_GB2312" w:hAnsi="等线" w:eastAsia="仿宋_GB2312"/>
                <w:color w:val="000000"/>
              </w:rPr>
              <w:t xml:space="preserve">1.1.2 </w:t>
            </w:r>
            <w:r>
              <w:rPr>
                <w:rFonts w:hint="eastAsia"/>
                <w:color w:val="000000"/>
              </w:rPr>
              <w:t>能够基于智能投顾工具开展金融互联网营销实践应用，增强线上获客能力。</w:t>
            </w:r>
          </w:p>
        </w:tc>
        <w:tc>
          <w:tcPr>
            <w:tcW w:w="0" w:type="auto"/>
            <w:vMerge w:val="continue"/>
            <w:tcBorders>
              <w:top w:val="nil"/>
              <w:left w:val="single" w:color="auto" w:sz="4" w:space="0"/>
              <w:bottom w:val="single" w:color="auto" w:sz="4" w:space="0"/>
              <w:right w:val="single" w:color="auto" w:sz="4" w:space="0"/>
            </w:tcBorders>
            <w:vAlign w:val="center"/>
          </w:tcPr>
          <w:p w14:paraId="2E628EB4">
            <w:pPr>
              <w:rPr>
                <w:rFonts w:ascii="等线" w:hAnsi="等线" w:eastAsia="等线"/>
                <w:color w:val="000000"/>
                <w:sz w:val="22"/>
              </w:rPr>
            </w:pPr>
          </w:p>
        </w:tc>
      </w:tr>
      <w:tr w14:paraId="3EAE2DF2">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272C9F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8BAF7B4">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7BD683F">
            <w:pPr>
              <w:rPr>
                <w:rFonts w:hint="eastAsia" w:ascii="仿宋_GB2312" w:hAnsi="等线" w:eastAsia="仿宋_GB2312"/>
                <w:color w:val="000000"/>
              </w:rPr>
            </w:pPr>
            <w:r>
              <w:rPr>
                <w:rFonts w:hint="eastAsia" w:ascii="仿宋_GB2312" w:hAnsi="等线" w:eastAsia="仿宋_GB2312"/>
                <w:color w:val="000000"/>
              </w:rPr>
              <w:t xml:space="preserve">1.1.3 </w:t>
            </w:r>
            <w:r>
              <w:rPr>
                <w:rFonts w:hint="eastAsia"/>
                <w:color w:val="000000"/>
              </w:rPr>
              <w:t>能够采用智能投顾工具开展精准客群互联网管理与外拓。</w:t>
            </w:r>
          </w:p>
        </w:tc>
        <w:tc>
          <w:tcPr>
            <w:tcW w:w="0" w:type="auto"/>
            <w:vMerge w:val="continue"/>
            <w:tcBorders>
              <w:top w:val="nil"/>
              <w:left w:val="single" w:color="auto" w:sz="4" w:space="0"/>
              <w:bottom w:val="single" w:color="auto" w:sz="4" w:space="0"/>
              <w:right w:val="single" w:color="auto" w:sz="4" w:space="0"/>
            </w:tcBorders>
            <w:vAlign w:val="center"/>
          </w:tcPr>
          <w:p w14:paraId="0854F7AC">
            <w:pPr>
              <w:rPr>
                <w:rFonts w:ascii="等线" w:hAnsi="等线" w:eastAsia="等线"/>
                <w:color w:val="000000"/>
                <w:sz w:val="22"/>
              </w:rPr>
            </w:pPr>
          </w:p>
        </w:tc>
      </w:tr>
      <w:tr w14:paraId="3D18CE8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B257326">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6BF45FC">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2EC8B79">
            <w:pPr>
              <w:rPr>
                <w:rFonts w:hint="eastAsia" w:ascii="仿宋_GB2312" w:hAnsi="等线" w:eastAsia="仿宋_GB2312"/>
                <w:color w:val="000000"/>
              </w:rPr>
            </w:pPr>
            <w:r>
              <w:rPr>
                <w:rFonts w:hint="eastAsia" w:ascii="仿宋_GB2312" w:hAnsi="等线" w:eastAsia="仿宋_GB2312"/>
                <w:color w:val="000000"/>
              </w:rPr>
              <w:t xml:space="preserve">1.1.4 </w:t>
            </w:r>
            <w:r>
              <w:rPr>
                <w:rFonts w:hint="eastAsia"/>
                <w:color w:val="000000"/>
              </w:rPr>
              <w:t>能够采用智能投顾工具开展定向营销实战训练。</w:t>
            </w:r>
          </w:p>
        </w:tc>
        <w:tc>
          <w:tcPr>
            <w:tcW w:w="0" w:type="auto"/>
            <w:vMerge w:val="continue"/>
            <w:tcBorders>
              <w:top w:val="nil"/>
              <w:left w:val="single" w:color="auto" w:sz="4" w:space="0"/>
              <w:bottom w:val="single" w:color="auto" w:sz="4" w:space="0"/>
              <w:right w:val="single" w:color="auto" w:sz="4" w:space="0"/>
            </w:tcBorders>
            <w:vAlign w:val="center"/>
          </w:tcPr>
          <w:p w14:paraId="17AF59E8">
            <w:pPr>
              <w:rPr>
                <w:rFonts w:ascii="等线" w:hAnsi="等线" w:eastAsia="等线"/>
                <w:color w:val="000000"/>
                <w:sz w:val="22"/>
              </w:rPr>
            </w:pPr>
          </w:p>
        </w:tc>
      </w:tr>
      <w:tr w14:paraId="4968C34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BB8FD0B">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2D07893">
            <w:pPr>
              <w:rPr>
                <w:rFonts w:hint="eastAsia" w:ascii="仿宋_GB2312" w:hAnsi="等线" w:eastAsia="仿宋_GB2312"/>
                <w:color w:val="000000"/>
              </w:rPr>
            </w:pPr>
            <w:r>
              <w:rPr>
                <w:rFonts w:hint="eastAsia" w:ascii="仿宋_GB2312" w:hAnsi="等线" w:eastAsia="仿宋_GB2312"/>
                <w:color w:val="000000"/>
              </w:rPr>
              <w:t xml:space="preserve">1.2 </w:t>
            </w:r>
            <w:r>
              <w:rPr>
                <w:rFonts w:hint="eastAsia"/>
                <w:color w:val="000000"/>
              </w:rPr>
              <w:t>智能投顾中级投研</w:t>
            </w:r>
          </w:p>
        </w:tc>
        <w:tc>
          <w:tcPr>
            <w:tcW w:w="0" w:type="auto"/>
            <w:tcBorders>
              <w:top w:val="nil"/>
              <w:left w:val="nil"/>
              <w:bottom w:val="single" w:color="auto" w:sz="4" w:space="0"/>
              <w:right w:val="single" w:color="auto" w:sz="4" w:space="0"/>
            </w:tcBorders>
            <w:shd w:val="clear" w:color="auto" w:fill="auto"/>
            <w:vAlign w:val="center"/>
          </w:tcPr>
          <w:p w14:paraId="12AE5055">
            <w:pPr>
              <w:rPr>
                <w:rFonts w:hint="eastAsia" w:ascii="仿宋_GB2312" w:hAnsi="等线" w:eastAsia="仿宋_GB2312"/>
                <w:color w:val="000000"/>
              </w:rPr>
            </w:pPr>
            <w:r>
              <w:rPr>
                <w:rFonts w:hint="eastAsia" w:ascii="仿宋_GB2312" w:hAnsi="等线" w:eastAsia="仿宋_GB2312"/>
                <w:color w:val="000000"/>
              </w:rPr>
              <w:t xml:space="preserve">1.2.1 </w:t>
            </w:r>
            <w:r>
              <w:rPr>
                <w:rFonts w:hint="eastAsia"/>
                <w:color w:val="000000"/>
              </w:rPr>
              <w:t>利用智能投顾原理进行简单评分工作。</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44C97CF">
            <w:pPr>
              <w:jc w:val="center"/>
              <w:rPr>
                <w:rFonts w:hint="eastAsia" w:ascii="等线" w:hAnsi="等线" w:eastAsia="等线"/>
                <w:color w:val="000000"/>
                <w:sz w:val="22"/>
              </w:rPr>
            </w:pPr>
            <w:r>
              <w:rPr>
                <w:rFonts w:hint="eastAsia" w:ascii="等线" w:hAnsi="等线" w:eastAsia="等线"/>
                <w:color w:val="000000"/>
                <w:sz w:val="22"/>
              </w:rPr>
              <w:t>智能投顾原理、金融产品设计，及投研方法创新、智能投顾流程设计、金融科技案例分析、金融合规与监管知识要求</w:t>
            </w:r>
          </w:p>
        </w:tc>
      </w:tr>
      <w:tr w14:paraId="01DDADE9">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3177366">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5B2E147">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A7936BC">
            <w:pPr>
              <w:rPr>
                <w:rFonts w:hint="eastAsia" w:ascii="仿宋_GB2312" w:hAnsi="等线" w:eastAsia="仿宋_GB2312"/>
                <w:color w:val="000000"/>
              </w:rPr>
            </w:pPr>
            <w:r>
              <w:rPr>
                <w:rFonts w:hint="eastAsia" w:ascii="仿宋_GB2312" w:hAnsi="等线" w:eastAsia="仿宋_GB2312"/>
                <w:color w:val="000000"/>
              </w:rPr>
              <w:t xml:space="preserve">1.2.2 </w:t>
            </w:r>
            <w:r>
              <w:rPr>
                <w:rFonts w:hint="eastAsia"/>
                <w:color w:val="000000"/>
              </w:rPr>
              <w:t>能够设计、构思进阶投研分析方法。</w:t>
            </w:r>
          </w:p>
        </w:tc>
        <w:tc>
          <w:tcPr>
            <w:tcW w:w="0" w:type="auto"/>
            <w:vMerge w:val="continue"/>
            <w:tcBorders>
              <w:top w:val="nil"/>
              <w:left w:val="single" w:color="auto" w:sz="4" w:space="0"/>
              <w:bottom w:val="single" w:color="auto" w:sz="4" w:space="0"/>
              <w:right w:val="single" w:color="auto" w:sz="4" w:space="0"/>
            </w:tcBorders>
            <w:vAlign w:val="center"/>
          </w:tcPr>
          <w:p w14:paraId="1735B140">
            <w:pPr>
              <w:rPr>
                <w:rFonts w:ascii="等线" w:hAnsi="等线" w:eastAsia="等线"/>
                <w:color w:val="000000"/>
                <w:sz w:val="22"/>
              </w:rPr>
            </w:pPr>
          </w:p>
        </w:tc>
      </w:tr>
      <w:tr w14:paraId="22085CF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06565F7">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D056F8D">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4955542">
            <w:pPr>
              <w:rPr>
                <w:rFonts w:hint="eastAsia" w:ascii="仿宋_GB2312" w:hAnsi="等线" w:eastAsia="仿宋_GB2312"/>
                <w:color w:val="000000"/>
              </w:rPr>
            </w:pPr>
            <w:r>
              <w:rPr>
                <w:rFonts w:hint="eastAsia" w:ascii="仿宋_GB2312" w:hAnsi="等线" w:eastAsia="仿宋_GB2312"/>
                <w:color w:val="000000"/>
              </w:rPr>
              <w:t xml:space="preserve">1.2.3 </w:t>
            </w:r>
            <w:r>
              <w:rPr>
                <w:rFonts w:hint="eastAsia"/>
                <w:color w:val="000000"/>
              </w:rPr>
              <w:t>能够设计、构思智能投顾的运作的标准化流程。</w:t>
            </w:r>
          </w:p>
        </w:tc>
        <w:tc>
          <w:tcPr>
            <w:tcW w:w="0" w:type="auto"/>
            <w:vMerge w:val="continue"/>
            <w:tcBorders>
              <w:top w:val="nil"/>
              <w:left w:val="single" w:color="auto" w:sz="4" w:space="0"/>
              <w:bottom w:val="single" w:color="auto" w:sz="4" w:space="0"/>
              <w:right w:val="single" w:color="auto" w:sz="4" w:space="0"/>
            </w:tcBorders>
            <w:vAlign w:val="center"/>
          </w:tcPr>
          <w:p w14:paraId="3FF48112">
            <w:pPr>
              <w:rPr>
                <w:rFonts w:ascii="等线" w:hAnsi="等线" w:eastAsia="等线"/>
                <w:color w:val="000000"/>
                <w:sz w:val="22"/>
              </w:rPr>
            </w:pPr>
          </w:p>
        </w:tc>
      </w:tr>
      <w:tr w14:paraId="5B275D5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5E25561">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6F23D2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62210D6">
            <w:pPr>
              <w:rPr>
                <w:rFonts w:hint="eastAsia" w:ascii="仿宋_GB2312" w:hAnsi="等线" w:eastAsia="仿宋_GB2312"/>
                <w:color w:val="000000"/>
              </w:rPr>
            </w:pPr>
            <w:r>
              <w:rPr>
                <w:rFonts w:hint="eastAsia" w:ascii="仿宋_GB2312" w:hAnsi="等线" w:eastAsia="仿宋_GB2312"/>
                <w:color w:val="000000"/>
              </w:rPr>
              <w:t xml:space="preserve">1.2.4 </w:t>
            </w:r>
            <w:r>
              <w:rPr>
                <w:rFonts w:hint="eastAsia"/>
                <w:color w:val="000000"/>
              </w:rPr>
              <w:t>能够利用智能投顾在我国财富管理市场中的典型案例进行案例分析。</w:t>
            </w:r>
          </w:p>
        </w:tc>
        <w:tc>
          <w:tcPr>
            <w:tcW w:w="0" w:type="auto"/>
            <w:vMerge w:val="continue"/>
            <w:tcBorders>
              <w:top w:val="nil"/>
              <w:left w:val="single" w:color="auto" w:sz="4" w:space="0"/>
              <w:bottom w:val="single" w:color="auto" w:sz="4" w:space="0"/>
              <w:right w:val="single" w:color="auto" w:sz="4" w:space="0"/>
            </w:tcBorders>
            <w:vAlign w:val="center"/>
          </w:tcPr>
          <w:p w14:paraId="73ECB6A2">
            <w:pPr>
              <w:rPr>
                <w:rFonts w:ascii="等线" w:hAnsi="等线" w:eastAsia="等线"/>
                <w:color w:val="000000"/>
                <w:sz w:val="22"/>
              </w:rPr>
            </w:pPr>
          </w:p>
        </w:tc>
      </w:tr>
      <w:tr w14:paraId="4B69DF9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034891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A7BA02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3BADFFE">
            <w:pPr>
              <w:rPr>
                <w:rFonts w:hint="eastAsia" w:ascii="仿宋_GB2312" w:hAnsi="等线" w:eastAsia="仿宋_GB2312"/>
                <w:color w:val="000000"/>
              </w:rPr>
            </w:pPr>
            <w:r>
              <w:rPr>
                <w:rFonts w:hint="eastAsia" w:ascii="仿宋_GB2312" w:hAnsi="等线" w:eastAsia="仿宋_GB2312"/>
                <w:color w:val="000000"/>
              </w:rPr>
              <w:t xml:space="preserve">1.2.5 </w:t>
            </w:r>
            <w:r>
              <w:rPr>
                <w:rFonts w:hint="eastAsia"/>
                <w:color w:val="000000"/>
              </w:rPr>
              <w:t>理解掌握智能投顾智能投顾目前面临的法律问题及其监管，能够在合规的前提下完成针对客户的投研工作。</w:t>
            </w:r>
          </w:p>
        </w:tc>
        <w:tc>
          <w:tcPr>
            <w:tcW w:w="0" w:type="auto"/>
            <w:vMerge w:val="continue"/>
            <w:tcBorders>
              <w:top w:val="nil"/>
              <w:left w:val="single" w:color="auto" w:sz="4" w:space="0"/>
              <w:bottom w:val="single" w:color="auto" w:sz="4" w:space="0"/>
              <w:right w:val="single" w:color="auto" w:sz="4" w:space="0"/>
            </w:tcBorders>
            <w:vAlign w:val="center"/>
          </w:tcPr>
          <w:p w14:paraId="332FCA1F">
            <w:pPr>
              <w:rPr>
                <w:rFonts w:ascii="等线" w:hAnsi="等线" w:eastAsia="等线"/>
                <w:color w:val="000000"/>
                <w:sz w:val="22"/>
              </w:rPr>
            </w:pPr>
          </w:p>
        </w:tc>
      </w:tr>
      <w:tr w14:paraId="615F37F2">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7B3F6B4">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E0C367A">
            <w:pPr>
              <w:rPr>
                <w:rFonts w:hint="eastAsia" w:ascii="仿宋_GB2312" w:hAnsi="等线" w:eastAsia="仿宋_GB2312"/>
                <w:color w:val="000000"/>
              </w:rPr>
            </w:pPr>
            <w:r>
              <w:rPr>
                <w:rFonts w:hint="eastAsia" w:ascii="仿宋_GB2312" w:hAnsi="等线" w:eastAsia="仿宋_GB2312"/>
                <w:color w:val="000000"/>
              </w:rPr>
              <w:t xml:space="preserve">1.3 </w:t>
            </w:r>
            <w:r>
              <w:rPr>
                <w:rFonts w:hint="eastAsia"/>
                <w:color w:val="000000"/>
              </w:rPr>
              <w:t>智能获客和智能客服投研</w:t>
            </w:r>
          </w:p>
        </w:tc>
        <w:tc>
          <w:tcPr>
            <w:tcW w:w="0" w:type="auto"/>
            <w:tcBorders>
              <w:top w:val="nil"/>
              <w:left w:val="nil"/>
              <w:bottom w:val="single" w:color="auto" w:sz="4" w:space="0"/>
              <w:right w:val="single" w:color="auto" w:sz="4" w:space="0"/>
            </w:tcBorders>
            <w:shd w:val="clear" w:color="auto" w:fill="auto"/>
            <w:vAlign w:val="center"/>
          </w:tcPr>
          <w:p w14:paraId="0592AD0E">
            <w:pPr>
              <w:rPr>
                <w:rFonts w:hint="eastAsia" w:ascii="仿宋_GB2312" w:hAnsi="等线" w:eastAsia="仿宋_GB2312"/>
                <w:color w:val="000000"/>
              </w:rPr>
            </w:pPr>
            <w:r>
              <w:rPr>
                <w:rFonts w:hint="eastAsia" w:ascii="仿宋_GB2312" w:hAnsi="等线" w:eastAsia="仿宋_GB2312"/>
                <w:color w:val="000000"/>
              </w:rPr>
              <w:t xml:space="preserve">1.3.1 </w:t>
            </w:r>
            <w:r>
              <w:rPr>
                <w:rFonts w:hint="eastAsia"/>
                <w:color w:val="000000"/>
              </w:rPr>
              <w:t>利用智能获客相关原理进行客群营销。</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705B78B">
            <w:pPr>
              <w:jc w:val="center"/>
              <w:rPr>
                <w:rFonts w:hint="eastAsia" w:ascii="等线" w:hAnsi="等线" w:eastAsia="等线"/>
                <w:color w:val="000000"/>
                <w:sz w:val="22"/>
              </w:rPr>
            </w:pPr>
            <w:r>
              <w:rPr>
                <w:rFonts w:hint="eastAsia" w:ascii="等线" w:hAnsi="等线" w:eastAsia="等线"/>
                <w:color w:val="000000"/>
                <w:sz w:val="22"/>
              </w:rPr>
              <w:t>智能营销原理、客户沟通与管理，及智能获客技术、客户风险偏好评估、智能客服系统应用、个性化营销方案设计知识要求。</w:t>
            </w:r>
          </w:p>
        </w:tc>
      </w:tr>
      <w:tr w14:paraId="79295860">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CF220B3">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FDD2814">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25751D2">
            <w:pPr>
              <w:rPr>
                <w:rFonts w:hint="eastAsia" w:ascii="仿宋_GB2312" w:hAnsi="等线" w:eastAsia="仿宋_GB2312"/>
                <w:color w:val="000000"/>
              </w:rPr>
            </w:pPr>
            <w:r>
              <w:rPr>
                <w:rFonts w:hint="eastAsia" w:ascii="仿宋_GB2312" w:hAnsi="等线" w:eastAsia="仿宋_GB2312"/>
                <w:color w:val="000000"/>
              </w:rPr>
              <w:t xml:space="preserve">1.3.2 </w:t>
            </w:r>
            <w:r>
              <w:rPr>
                <w:rFonts w:hint="eastAsia"/>
                <w:color w:val="000000"/>
              </w:rPr>
              <w:t>利用智能获客技术方法与客户沟通，合理处理客户诉求和风险偏好。</w:t>
            </w:r>
          </w:p>
        </w:tc>
        <w:tc>
          <w:tcPr>
            <w:tcW w:w="0" w:type="auto"/>
            <w:vMerge w:val="continue"/>
            <w:tcBorders>
              <w:top w:val="nil"/>
              <w:left w:val="single" w:color="auto" w:sz="4" w:space="0"/>
              <w:bottom w:val="single" w:color="auto" w:sz="4" w:space="0"/>
              <w:right w:val="single" w:color="auto" w:sz="4" w:space="0"/>
            </w:tcBorders>
            <w:vAlign w:val="center"/>
          </w:tcPr>
          <w:p w14:paraId="5AEAB4DD">
            <w:pPr>
              <w:rPr>
                <w:rFonts w:ascii="等线" w:hAnsi="等线" w:eastAsia="等线"/>
                <w:color w:val="000000"/>
                <w:sz w:val="22"/>
              </w:rPr>
            </w:pPr>
          </w:p>
        </w:tc>
      </w:tr>
      <w:tr w14:paraId="0214AD50">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2304FC3">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270D377">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D6D5E16">
            <w:pPr>
              <w:rPr>
                <w:rFonts w:hint="eastAsia" w:ascii="仿宋_GB2312" w:hAnsi="等线" w:eastAsia="仿宋_GB2312"/>
                <w:color w:val="000000"/>
              </w:rPr>
            </w:pPr>
            <w:r>
              <w:rPr>
                <w:rFonts w:hint="eastAsia" w:ascii="仿宋_GB2312" w:hAnsi="等线" w:eastAsia="仿宋_GB2312"/>
                <w:color w:val="000000"/>
              </w:rPr>
              <w:t xml:space="preserve">1.3.3 </w:t>
            </w:r>
            <w:r>
              <w:rPr>
                <w:rFonts w:hint="eastAsia"/>
                <w:color w:val="000000"/>
              </w:rPr>
              <w:t>理解掌握智能客服相关原理，并且进行营销获客。</w:t>
            </w:r>
          </w:p>
        </w:tc>
        <w:tc>
          <w:tcPr>
            <w:tcW w:w="0" w:type="auto"/>
            <w:vMerge w:val="continue"/>
            <w:tcBorders>
              <w:top w:val="nil"/>
              <w:left w:val="single" w:color="auto" w:sz="4" w:space="0"/>
              <w:bottom w:val="single" w:color="auto" w:sz="4" w:space="0"/>
              <w:right w:val="single" w:color="auto" w:sz="4" w:space="0"/>
            </w:tcBorders>
            <w:vAlign w:val="center"/>
          </w:tcPr>
          <w:p w14:paraId="77BF545F">
            <w:pPr>
              <w:rPr>
                <w:rFonts w:ascii="等线" w:hAnsi="等线" w:eastAsia="等线"/>
                <w:color w:val="000000"/>
                <w:sz w:val="22"/>
              </w:rPr>
            </w:pPr>
          </w:p>
        </w:tc>
      </w:tr>
      <w:tr w14:paraId="68BC77F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E497FA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4B2D5E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BC3E9BD">
            <w:pPr>
              <w:rPr>
                <w:rFonts w:hint="eastAsia" w:ascii="仿宋_GB2312" w:hAnsi="等线" w:eastAsia="仿宋_GB2312"/>
                <w:color w:val="000000"/>
              </w:rPr>
            </w:pPr>
            <w:r>
              <w:rPr>
                <w:rFonts w:hint="eastAsia" w:ascii="仿宋_GB2312" w:hAnsi="等线" w:eastAsia="仿宋_GB2312"/>
                <w:color w:val="000000"/>
              </w:rPr>
              <w:t xml:space="preserve">1.3.4 </w:t>
            </w:r>
            <w:r>
              <w:rPr>
                <w:rFonts w:hint="eastAsia"/>
                <w:color w:val="000000"/>
              </w:rPr>
              <w:t>根据客户风险偏好调查表进行简单方案的设计和营销。</w:t>
            </w:r>
          </w:p>
        </w:tc>
        <w:tc>
          <w:tcPr>
            <w:tcW w:w="0" w:type="auto"/>
            <w:vMerge w:val="continue"/>
            <w:tcBorders>
              <w:top w:val="nil"/>
              <w:left w:val="single" w:color="auto" w:sz="4" w:space="0"/>
              <w:bottom w:val="single" w:color="auto" w:sz="4" w:space="0"/>
              <w:right w:val="single" w:color="auto" w:sz="4" w:space="0"/>
            </w:tcBorders>
            <w:vAlign w:val="center"/>
          </w:tcPr>
          <w:p w14:paraId="15EAB8B3">
            <w:pPr>
              <w:rPr>
                <w:rFonts w:ascii="等线" w:hAnsi="等线" w:eastAsia="等线"/>
                <w:color w:val="000000"/>
                <w:sz w:val="22"/>
              </w:rPr>
            </w:pPr>
          </w:p>
        </w:tc>
      </w:tr>
      <w:tr w14:paraId="4DA50A9F">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153A091">
            <w:pPr>
              <w:rPr>
                <w:rFonts w:hint="eastAsia" w:ascii="仿宋_GB2312" w:hAnsi="等线" w:eastAsia="仿宋_GB2312"/>
                <w:color w:val="000000"/>
              </w:rPr>
            </w:pPr>
            <w:r>
              <w:rPr>
                <w:rFonts w:hint="eastAsia" w:ascii="仿宋_GB2312" w:hAnsi="等线" w:eastAsia="仿宋_GB2312"/>
                <w:color w:val="000000"/>
              </w:rPr>
              <w:t>2.</w:t>
            </w:r>
            <w:r>
              <w:rPr>
                <w:rFonts w:hint="eastAsia"/>
                <w:color w:val="000000"/>
              </w:rPr>
              <w:t>证券投资规划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0439FFD">
            <w:pPr>
              <w:rPr>
                <w:rFonts w:hint="eastAsia" w:ascii="仿宋_GB2312" w:hAnsi="等线" w:eastAsia="仿宋_GB2312"/>
                <w:color w:val="000000"/>
              </w:rPr>
            </w:pPr>
            <w:r>
              <w:rPr>
                <w:rFonts w:hint="eastAsia" w:ascii="仿宋_GB2312" w:hAnsi="等线" w:eastAsia="仿宋_GB2312"/>
                <w:color w:val="000000"/>
              </w:rPr>
              <w:t xml:space="preserve">2.1 </w:t>
            </w:r>
            <w:r>
              <w:rPr>
                <w:rFonts w:hint="eastAsia"/>
                <w:color w:val="000000"/>
              </w:rPr>
              <w:t>证券相关中级投研</w:t>
            </w:r>
          </w:p>
        </w:tc>
        <w:tc>
          <w:tcPr>
            <w:tcW w:w="0" w:type="auto"/>
            <w:tcBorders>
              <w:top w:val="nil"/>
              <w:left w:val="nil"/>
              <w:bottom w:val="single" w:color="auto" w:sz="4" w:space="0"/>
              <w:right w:val="single" w:color="auto" w:sz="4" w:space="0"/>
            </w:tcBorders>
            <w:shd w:val="clear" w:color="auto" w:fill="auto"/>
            <w:vAlign w:val="center"/>
          </w:tcPr>
          <w:p w14:paraId="5D5D610F">
            <w:pPr>
              <w:rPr>
                <w:rFonts w:hint="eastAsia" w:ascii="仿宋_GB2312" w:hAnsi="等线" w:eastAsia="仿宋_GB2312"/>
                <w:color w:val="000000"/>
              </w:rPr>
            </w:pPr>
            <w:r>
              <w:rPr>
                <w:rFonts w:hint="eastAsia" w:ascii="仿宋_GB2312" w:hAnsi="等线" w:eastAsia="仿宋_GB2312"/>
                <w:color w:val="000000"/>
              </w:rPr>
              <w:t xml:space="preserve">2.1.1 </w:t>
            </w:r>
            <w:r>
              <w:rPr>
                <w:rFonts w:hint="eastAsia"/>
                <w:color w:val="000000"/>
              </w:rPr>
              <w:t>分析股票型、债券型、混合型、指数型基金、货币市场等基金产品优劣并且合理打分。</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2616679">
            <w:pPr>
              <w:jc w:val="center"/>
              <w:rPr>
                <w:rFonts w:hint="eastAsia" w:ascii="等线" w:hAnsi="等线" w:eastAsia="等线"/>
                <w:color w:val="000000"/>
                <w:sz w:val="22"/>
              </w:rPr>
            </w:pPr>
            <w:r>
              <w:rPr>
                <w:rFonts w:hint="eastAsia" w:ascii="等线" w:hAnsi="等线" w:eastAsia="等线"/>
                <w:color w:val="000000"/>
                <w:sz w:val="22"/>
              </w:rPr>
              <w:t>基金投资分析、金融产品配置，及基金产品评价与选择、基金定投策略、资产配置优化、股债组合管理知识要求。</w:t>
            </w:r>
          </w:p>
        </w:tc>
      </w:tr>
      <w:tr w14:paraId="0364B6D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F95475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CDF66D8">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1793ED1">
            <w:pPr>
              <w:rPr>
                <w:rFonts w:hint="eastAsia" w:ascii="仿宋_GB2312" w:hAnsi="等线" w:eastAsia="仿宋_GB2312"/>
                <w:color w:val="000000"/>
              </w:rPr>
            </w:pPr>
            <w:r>
              <w:rPr>
                <w:rFonts w:hint="eastAsia" w:ascii="仿宋_GB2312" w:hAnsi="等线" w:eastAsia="仿宋_GB2312"/>
                <w:color w:val="000000"/>
              </w:rPr>
              <w:t xml:space="preserve">2.1.2 </w:t>
            </w:r>
            <w:r>
              <w:rPr>
                <w:rFonts w:hint="eastAsia"/>
                <w:color w:val="000000"/>
              </w:rPr>
              <w:t>掌握基金定投诊断的方法及技巧，并且根据技巧制定合理的基金定投方案。</w:t>
            </w:r>
          </w:p>
        </w:tc>
        <w:tc>
          <w:tcPr>
            <w:tcW w:w="0" w:type="auto"/>
            <w:vMerge w:val="continue"/>
            <w:tcBorders>
              <w:top w:val="nil"/>
              <w:left w:val="single" w:color="auto" w:sz="4" w:space="0"/>
              <w:bottom w:val="single" w:color="auto" w:sz="4" w:space="0"/>
              <w:right w:val="single" w:color="auto" w:sz="4" w:space="0"/>
            </w:tcBorders>
            <w:vAlign w:val="center"/>
          </w:tcPr>
          <w:p w14:paraId="736BA34D">
            <w:pPr>
              <w:rPr>
                <w:rFonts w:ascii="等线" w:hAnsi="等线" w:eastAsia="等线"/>
                <w:color w:val="000000"/>
                <w:sz w:val="22"/>
              </w:rPr>
            </w:pPr>
          </w:p>
        </w:tc>
      </w:tr>
      <w:tr w14:paraId="38997DD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9C6FEF1">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22F3D2A">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94A5764">
            <w:pPr>
              <w:rPr>
                <w:rFonts w:hint="eastAsia" w:ascii="仿宋_GB2312" w:hAnsi="等线" w:eastAsia="仿宋_GB2312"/>
                <w:color w:val="000000"/>
              </w:rPr>
            </w:pPr>
            <w:r>
              <w:rPr>
                <w:rFonts w:hint="eastAsia" w:ascii="仿宋_GB2312" w:hAnsi="等线" w:eastAsia="仿宋_GB2312"/>
                <w:color w:val="000000"/>
              </w:rPr>
              <w:t xml:space="preserve">2.1.3 </w:t>
            </w:r>
            <w:r>
              <w:rPr>
                <w:rFonts w:hint="eastAsia"/>
                <w:color w:val="000000"/>
              </w:rPr>
              <w:t>掌握基金产品投资的方法及技巧，并且根据技巧优化基金配置方案。</w:t>
            </w:r>
          </w:p>
        </w:tc>
        <w:tc>
          <w:tcPr>
            <w:tcW w:w="0" w:type="auto"/>
            <w:vMerge w:val="continue"/>
            <w:tcBorders>
              <w:top w:val="nil"/>
              <w:left w:val="single" w:color="auto" w:sz="4" w:space="0"/>
              <w:bottom w:val="single" w:color="auto" w:sz="4" w:space="0"/>
              <w:right w:val="single" w:color="auto" w:sz="4" w:space="0"/>
            </w:tcBorders>
            <w:vAlign w:val="center"/>
          </w:tcPr>
          <w:p w14:paraId="540756CB">
            <w:pPr>
              <w:rPr>
                <w:rFonts w:ascii="等线" w:hAnsi="等线" w:eastAsia="等线"/>
                <w:color w:val="000000"/>
                <w:sz w:val="22"/>
              </w:rPr>
            </w:pPr>
          </w:p>
        </w:tc>
      </w:tr>
      <w:tr w14:paraId="3F4ECF14">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37C8D1F">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C3EC21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EA7DDEA">
            <w:pPr>
              <w:rPr>
                <w:rFonts w:hint="eastAsia" w:ascii="仿宋_GB2312" w:hAnsi="等线" w:eastAsia="仿宋_GB2312"/>
                <w:color w:val="000000"/>
              </w:rPr>
            </w:pPr>
            <w:r>
              <w:rPr>
                <w:rFonts w:hint="eastAsia" w:ascii="仿宋_GB2312" w:hAnsi="等线" w:eastAsia="仿宋_GB2312"/>
                <w:color w:val="000000"/>
              </w:rPr>
              <w:t xml:space="preserve">2.1.4 </w:t>
            </w:r>
            <w:r>
              <w:rPr>
                <w:rFonts w:hint="eastAsia"/>
                <w:color w:val="000000"/>
              </w:rPr>
              <w:t>掌握股票、债券等产品投资的方法及技巧，并且设计合理比例的股债产品方案。</w:t>
            </w:r>
          </w:p>
        </w:tc>
        <w:tc>
          <w:tcPr>
            <w:tcW w:w="0" w:type="auto"/>
            <w:vMerge w:val="continue"/>
            <w:tcBorders>
              <w:top w:val="nil"/>
              <w:left w:val="single" w:color="auto" w:sz="4" w:space="0"/>
              <w:bottom w:val="single" w:color="auto" w:sz="4" w:space="0"/>
              <w:right w:val="single" w:color="auto" w:sz="4" w:space="0"/>
            </w:tcBorders>
            <w:vAlign w:val="center"/>
          </w:tcPr>
          <w:p w14:paraId="68F94EBE">
            <w:pPr>
              <w:rPr>
                <w:rFonts w:ascii="等线" w:hAnsi="等线" w:eastAsia="等线"/>
                <w:color w:val="000000"/>
                <w:sz w:val="22"/>
              </w:rPr>
            </w:pPr>
          </w:p>
        </w:tc>
      </w:tr>
      <w:tr w14:paraId="5C1FDFE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D6AF600">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B6C3FA2">
            <w:pPr>
              <w:rPr>
                <w:rFonts w:hint="eastAsia" w:ascii="仿宋_GB2312" w:hAnsi="等线" w:eastAsia="仿宋_GB2312"/>
                <w:color w:val="000000"/>
              </w:rPr>
            </w:pPr>
            <w:r>
              <w:rPr>
                <w:rFonts w:hint="eastAsia" w:ascii="仿宋_GB2312" w:hAnsi="等线" w:eastAsia="仿宋_GB2312"/>
                <w:color w:val="000000"/>
              </w:rPr>
              <w:t xml:space="preserve">2.2 </w:t>
            </w:r>
            <w:r>
              <w:rPr>
                <w:rFonts w:hint="eastAsia"/>
                <w:color w:val="000000"/>
              </w:rPr>
              <w:t>证券销售中级投研</w:t>
            </w:r>
          </w:p>
        </w:tc>
        <w:tc>
          <w:tcPr>
            <w:tcW w:w="0" w:type="auto"/>
            <w:tcBorders>
              <w:top w:val="nil"/>
              <w:left w:val="nil"/>
              <w:bottom w:val="single" w:color="auto" w:sz="4" w:space="0"/>
              <w:right w:val="single" w:color="auto" w:sz="4" w:space="0"/>
            </w:tcBorders>
            <w:shd w:val="clear" w:color="auto" w:fill="auto"/>
            <w:vAlign w:val="center"/>
          </w:tcPr>
          <w:p w14:paraId="22D1F754">
            <w:pPr>
              <w:rPr>
                <w:rFonts w:hint="eastAsia" w:ascii="仿宋_GB2312" w:hAnsi="等线" w:eastAsia="仿宋_GB2312"/>
                <w:color w:val="000000"/>
              </w:rPr>
            </w:pPr>
            <w:r>
              <w:rPr>
                <w:rFonts w:hint="eastAsia" w:ascii="仿宋_GB2312" w:hAnsi="等线" w:eastAsia="仿宋_GB2312"/>
                <w:color w:val="000000"/>
              </w:rPr>
              <w:t xml:space="preserve">2.2.1 </w:t>
            </w:r>
            <w:r>
              <w:rPr>
                <w:rFonts w:hint="eastAsia"/>
                <w:color w:val="000000"/>
              </w:rPr>
              <w:t>掌握基金螺旋闭环的应用训练，并利用原理进行简单的基金螺旋定投。</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C0A244F">
            <w:pPr>
              <w:jc w:val="center"/>
              <w:rPr>
                <w:rFonts w:hint="eastAsia" w:ascii="等线" w:hAnsi="等线" w:eastAsia="等线"/>
                <w:color w:val="000000"/>
                <w:sz w:val="22"/>
              </w:rPr>
            </w:pPr>
            <w:r>
              <w:rPr>
                <w:rFonts w:hint="eastAsia" w:ascii="等线" w:hAnsi="等线" w:eastAsia="等线"/>
                <w:color w:val="000000"/>
                <w:sz w:val="22"/>
              </w:rPr>
              <w:t>基金投资策略、营销与诊断，及基金螺旋闭环管理、基金营销实战、产品评估与优化、客户定投策略设计知识要求。</w:t>
            </w:r>
          </w:p>
        </w:tc>
      </w:tr>
      <w:tr w14:paraId="54B3A59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DDCE49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E3AB95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DE43C4F">
            <w:pPr>
              <w:rPr>
                <w:rFonts w:hint="eastAsia" w:ascii="仿宋_GB2312" w:hAnsi="等线" w:eastAsia="仿宋_GB2312"/>
                <w:color w:val="000000"/>
              </w:rPr>
            </w:pPr>
            <w:r>
              <w:rPr>
                <w:rFonts w:hint="eastAsia" w:ascii="仿宋_GB2312" w:hAnsi="等线" w:eastAsia="仿宋_GB2312"/>
                <w:color w:val="000000"/>
              </w:rPr>
              <w:t xml:space="preserve">2.2.2 </w:t>
            </w:r>
            <w:r>
              <w:rPr>
                <w:rFonts w:hint="eastAsia"/>
                <w:color w:val="000000"/>
              </w:rPr>
              <w:t>掌握的基金营销技巧，并且改善业绩结构。</w:t>
            </w:r>
          </w:p>
        </w:tc>
        <w:tc>
          <w:tcPr>
            <w:tcW w:w="0" w:type="auto"/>
            <w:vMerge w:val="continue"/>
            <w:tcBorders>
              <w:top w:val="nil"/>
              <w:left w:val="single" w:color="auto" w:sz="4" w:space="0"/>
              <w:bottom w:val="single" w:color="auto" w:sz="4" w:space="0"/>
              <w:right w:val="single" w:color="auto" w:sz="4" w:space="0"/>
            </w:tcBorders>
            <w:vAlign w:val="center"/>
          </w:tcPr>
          <w:p w14:paraId="57EA5B0B">
            <w:pPr>
              <w:rPr>
                <w:rFonts w:ascii="等线" w:hAnsi="等线" w:eastAsia="等线"/>
                <w:color w:val="000000"/>
                <w:sz w:val="22"/>
              </w:rPr>
            </w:pPr>
          </w:p>
        </w:tc>
      </w:tr>
      <w:tr w14:paraId="095FCCC2">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AE5521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A8B6FA9">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247736B">
            <w:pPr>
              <w:rPr>
                <w:rFonts w:hint="eastAsia" w:ascii="仿宋_GB2312" w:hAnsi="等线" w:eastAsia="仿宋_GB2312"/>
                <w:color w:val="000000"/>
              </w:rPr>
            </w:pPr>
            <w:r>
              <w:rPr>
                <w:rFonts w:hint="eastAsia" w:ascii="仿宋_GB2312" w:hAnsi="等线" w:eastAsia="仿宋_GB2312"/>
                <w:color w:val="000000"/>
              </w:rPr>
              <w:t xml:space="preserve">2.2.3 </w:t>
            </w:r>
            <w:r>
              <w:rPr>
                <w:rFonts w:hint="eastAsia"/>
                <w:color w:val="000000"/>
              </w:rPr>
              <w:t>掌握基金诊断实战训练，并且能够针对特定产品进行评分和优化。</w:t>
            </w:r>
          </w:p>
        </w:tc>
        <w:tc>
          <w:tcPr>
            <w:tcW w:w="0" w:type="auto"/>
            <w:vMerge w:val="continue"/>
            <w:tcBorders>
              <w:top w:val="nil"/>
              <w:left w:val="single" w:color="auto" w:sz="4" w:space="0"/>
              <w:bottom w:val="single" w:color="auto" w:sz="4" w:space="0"/>
              <w:right w:val="single" w:color="auto" w:sz="4" w:space="0"/>
            </w:tcBorders>
            <w:vAlign w:val="center"/>
          </w:tcPr>
          <w:p w14:paraId="3A23C596">
            <w:pPr>
              <w:rPr>
                <w:rFonts w:ascii="等线" w:hAnsi="等线" w:eastAsia="等线"/>
                <w:color w:val="000000"/>
                <w:sz w:val="22"/>
              </w:rPr>
            </w:pPr>
          </w:p>
        </w:tc>
      </w:tr>
      <w:tr w14:paraId="294DF76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B3EE9F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7A2B179">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77F5BC1">
            <w:pPr>
              <w:rPr>
                <w:rFonts w:hint="eastAsia" w:ascii="仿宋_GB2312" w:hAnsi="等线" w:eastAsia="仿宋_GB2312"/>
                <w:color w:val="000000"/>
              </w:rPr>
            </w:pPr>
            <w:r>
              <w:rPr>
                <w:rFonts w:hint="eastAsia" w:ascii="仿宋_GB2312" w:hAnsi="等线" w:eastAsia="仿宋_GB2312"/>
                <w:color w:val="000000"/>
              </w:rPr>
              <w:t xml:space="preserve">2.2.4 </w:t>
            </w:r>
            <w:r>
              <w:rPr>
                <w:rFonts w:hint="eastAsia"/>
                <w:color w:val="000000"/>
              </w:rPr>
              <w:t>能够在特定时间根据客户的定投成果制定合理的定投建议。</w:t>
            </w:r>
          </w:p>
        </w:tc>
        <w:tc>
          <w:tcPr>
            <w:tcW w:w="0" w:type="auto"/>
            <w:vMerge w:val="continue"/>
            <w:tcBorders>
              <w:top w:val="nil"/>
              <w:left w:val="single" w:color="auto" w:sz="4" w:space="0"/>
              <w:bottom w:val="single" w:color="auto" w:sz="4" w:space="0"/>
              <w:right w:val="single" w:color="auto" w:sz="4" w:space="0"/>
            </w:tcBorders>
            <w:vAlign w:val="center"/>
          </w:tcPr>
          <w:p w14:paraId="2BEFCB10">
            <w:pPr>
              <w:rPr>
                <w:rFonts w:ascii="等线" w:hAnsi="等线" w:eastAsia="等线"/>
                <w:color w:val="000000"/>
                <w:sz w:val="22"/>
              </w:rPr>
            </w:pPr>
          </w:p>
        </w:tc>
      </w:tr>
      <w:tr w14:paraId="6F55FFA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F184AE3">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1FDA99A">
            <w:pPr>
              <w:rPr>
                <w:rFonts w:hint="eastAsia" w:ascii="仿宋_GB2312" w:hAnsi="等线" w:eastAsia="仿宋_GB2312"/>
                <w:color w:val="000000"/>
              </w:rPr>
            </w:pPr>
            <w:r>
              <w:rPr>
                <w:rFonts w:hint="eastAsia" w:ascii="仿宋_GB2312" w:hAnsi="等线" w:eastAsia="仿宋_GB2312"/>
                <w:color w:val="000000"/>
              </w:rPr>
              <w:t xml:space="preserve">2.3 </w:t>
            </w:r>
            <w:r>
              <w:rPr>
                <w:rFonts w:hint="eastAsia"/>
                <w:color w:val="000000"/>
              </w:rPr>
              <w:t>证券产品中级投研</w:t>
            </w:r>
          </w:p>
        </w:tc>
        <w:tc>
          <w:tcPr>
            <w:tcW w:w="0" w:type="auto"/>
            <w:tcBorders>
              <w:top w:val="nil"/>
              <w:left w:val="nil"/>
              <w:bottom w:val="single" w:color="auto" w:sz="4" w:space="0"/>
              <w:right w:val="single" w:color="auto" w:sz="4" w:space="0"/>
            </w:tcBorders>
            <w:shd w:val="clear" w:color="auto" w:fill="auto"/>
            <w:vAlign w:val="center"/>
          </w:tcPr>
          <w:p w14:paraId="0B604932">
            <w:pPr>
              <w:rPr>
                <w:rFonts w:hint="eastAsia" w:ascii="仿宋_GB2312" w:hAnsi="等线" w:eastAsia="仿宋_GB2312"/>
                <w:color w:val="000000"/>
              </w:rPr>
            </w:pPr>
            <w:r>
              <w:rPr>
                <w:rFonts w:hint="eastAsia" w:ascii="仿宋_GB2312" w:hAnsi="等线" w:eastAsia="仿宋_GB2312"/>
                <w:color w:val="000000"/>
              </w:rPr>
              <w:t xml:space="preserve">2.3.1 </w:t>
            </w:r>
            <w:r>
              <w:rPr>
                <w:rFonts w:hint="eastAsia"/>
                <w:color w:val="000000"/>
              </w:rPr>
              <w:t>能够根据股票、债券产品营销的特点及方法制定合理配比的证券产品。</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7E4CB40">
            <w:pPr>
              <w:jc w:val="center"/>
              <w:rPr>
                <w:rFonts w:hint="eastAsia" w:ascii="等线" w:hAnsi="等线" w:eastAsia="等线"/>
                <w:color w:val="000000"/>
                <w:sz w:val="22"/>
              </w:rPr>
            </w:pPr>
            <w:r>
              <w:rPr>
                <w:rFonts w:hint="eastAsia" w:ascii="等线" w:hAnsi="等线" w:eastAsia="等线"/>
                <w:color w:val="000000"/>
                <w:sz w:val="22"/>
              </w:rPr>
              <w:t>证券与基金营销、智能投顾应用课程，及金融产品营销策略、智能投顾工具实操、客户风险偏好评估、基金产品营销创新知识要求。</w:t>
            </w:r>
          </w:p>
        </w:tc>
      </w:tr>
      <w:tr w14:paraId="1012487B">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13EC792">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07B1490">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CD0C110">
            <w:pPr>
              <w:rPr>
                <w:rFonts w:hint="eastAsia" w:ascii="仿宋_GB2312" w:hAnsi="等线" w:eastAsia="仿宋_GB2312"/>
                <w:color w:val="000000"/>
              </w:rPr>
            </w:pPr>
            <w:r>
              <w:rPr>
                <w:rFonts w:hint="eastAsia" w:ascii="仿宋_GB2312" w:hAnsi="等线" w:eastAsia="仿宋_GB2312"/>
                <w:color w:val="000000"/>
              </w:rPr>
              <w:t xml:space="preserve">2.3.2 </w:t>
            </w:r>
            <w:r>
              <w:rPr>
                <w:rFonts w:hint="eastAsia"/>
                <w:color w:val="000000"/>
              </w:rPr>
              <w:t>能够结合智能投顾工具系统进行股票、债券产品营销。</w:t>
            </w:r>
          </w:p>
        </w:tc>
        <w:tc>
          <w:tcPr>
            <w:tcW w:w="0" w:type="auto"/>
            <w:vMerge w:val="continue"/>
            <w:tcBorders>
              <w:top w:val="nil"/>
              <w:left w:val="single" w:color="auto" w:sz="4" w:space="0"/>
              <w:bottom w:val="single" w:color="auto" w:sz="4" w:space="0"/>
              <w:right w:val="single" w:color="auto" w:sz="4" w:space="0"/>
            </w:tcBorders>
            <w:vAlign w:val="center"/>
          </w:tcPr>
          <w:p w14:paraId="2F8B5A41">
            <w:pPr>
              <w:rPr>
                <w:rFonts w:ascii="等线" w:hAnsi="等线" w:eastAsia="等线"/>
                <w:color w:val="000000"/>
                <w:sz w:val="22"/>
              </w:rPr>
            </w:pPr>
          </w:p>
        </w:tc>
      </w:tr>
      <w:tr w14:paraId="5FE49F7B">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8735A7F">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C637C5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FA7383B">
            <w:pPr>
              <w:rPr>
                <w:rFonts w:hint="eastAsia" w:ascii="仿宋_GB2312" w:hAnsi="等线" w:eastAsia="仿宋_GB2312"/>
                <w:color w:val="000000"/>
              </w:rPr>
            </w:pPr>
            <w:r>
              <w:rPr>
                <w:rFonts w:hint="eastAsia" w:ascii="仿宋_GB2312" w:hAnsi="等线" w:eastAsia="仿宋_GB2312"/>
                <w:color w:val="000000"/>
              </w:rPr>
              <w:t xml:space="preserve">2.3.3 </w:t>
            </w:r>
            <w:r>
              <w:rPr>
                <w:rFonts w:hint="eastAsia"/>
                <w:color w:val="000000"/>
              </w:rPr>
              <w:t>能够利用基金产品营销的技巧对客户进行风险偏好调查。</w:t>
            </w:r>
          </w:p>
        </w:tc>
        <w:tc>
          <w:tcPr>
            <w:tcW w:w="0" w:type="auto"/>
            <w:vMerge w:val="continue"/>
            <w:tcBorders>
              <w:top w:val="nil"/>
              <w:left w:val="single" w:color="auto" w:sz="4" w:space="0"/>
              <w:bottom w:val="single" w:color="auto" w:sz="4" w:space="0"/>
              <w:right w:val="single" w:color="auto" w:sz="4" w:space="0"/>
            </w:tcBorders>
            <w:vAlign w:val="center"/>
          </w:tcPr>
          <w:p w14:paraId="0D2502AF">
            <w:pPr>
              <w:rPr>
                <w:rFonts w:ascii="等线" w:hAnsi="等线" w:eastAsia="等线"/>
                <w:color w:val="000000"/>
                <w:sz w:val="22"/>
              </w:rPr>
            </w:pPr>
          </w:p>
        </w:tc>
      </w:tr>
      <w:tr w14:paraId="5635C27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0C71C74">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19B8820">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6C20260">
            <w:pPr>
              <w:rPr>
                <w:rFonts w:hint="eastAsia" w:ascii="仿宋_GB2312" w:hAnsi="等线" w:eastAsia="仿宋_GB2312"/>
                <w:color w:val="000000"/>
              </w:rPr>
            </w:pPr>
            <w:r>
              <w:rPr>
                <w:rFonts w:hint="eastAsia" w:ascii="仿宋_GB2312" w:hAnsi="等线" w:eastAsia="仿宋_GB2312"/>
                <w:color w:val="000000"/>
              </w:rPr>
              <w:t xml:space="preserve">2.3.4 </w:t>
            </w:r>
            <w:r>
              <w:rPr>
                <w:rFonts w:hint="eastAsia"/>
                <w:color w:val="000000"/>
              </w:rPr>
              <w:t>能够结合智能投顾工具进行基金产品营销。</w:t>
            </w:r>
          </w:p>
        </w:tc>
        <w:tc>
          <w:tcPr>
            <w:tcW w:w="0" w:type="auto"/>
            <w:vMerge w:val="continue"/>
            <w:tcBorders>
              <w:top w:val="nil"/>
              <w:left w:val="single" w:color="auto" w:sz="4" w:space="0"/>
              <w:bottom w:val="single" w:color="auto" w:sz="4" w:space="0"/>
              <w:right w:val="single" w:color="auto" w:sz="4" w:space="0"/>
            </w:tcBorders>
            <w:vAlign w:val="center"/>
          </w:tcPr>
          <w:p w14:paraId="6BE1F30A">
            <w:pPr>
              <w:rPr>
                <w:rFonts w:ascii="等线" w:hAnsi="等线" w:eastAsia="等线"/>
                <w:color w:val="000000"/>
                <w:sz w:val="22"/>
              </w:rPr>
            </w:pPr>
          </w:p>
        </w:tc>
      </w:tr>
      <w:tr w14:paraId="4613DFEB">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77318FD">
            <w:pPr>
              <w:rPr>
                <w:rFonts w:hint="eastAsia" w:ascii="仿宋_GB2312" w:hAnsi="等线" w:eastAsia="仿宋_GB2312"/>
                <w:color w:val="000000"/>
              </w:rPr>
            </w:pPr>
            <w:r>
              <w:rPr>
                <w:rFonts w:hint="eastAsia" w:ascii="仿宋_GB2312" w:hAnsi="等线" w:eastAsia="仿宋_GB2312"/>
                <w:color w:val="000000"/>
              </w:rPr>
              <w:t>3.</w:t>
            </w:r>
            <w:r>
              <w:rPr>
                <w:rFonts w:hint="eastAsia"/>
                <w:color w:val="000000"/>
              </w:rPr>
              <w:t>复杂金融产品规划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5928B1C">
            <w:pPr>
              <w:rPr>
                <w:rFonts w:hint="eastAsia" w:ascii="仿宋_GB2312" w:hAnsi="等线" w:eastAsia="仿宋_GB2312"/>
                <w:color w:val="000000"/>
              </w:rPr>
            </w:pPr>
            <w:r>
              <w:rPr>
                <w:rFonts w:hint="eastAsia" w:ascii="仿宋_GB2312" w:hAnsi="等线" w:eastAsia="仿宋_GB2312"/>
                <w:color w:val="000000"/>
              </w:rPr>
              <w:t xml:space="preserve">3.1 </w:t>
            </w:r>
            <w:r>
              <w:rPr>
                <w:rFonts w:hint="eastAsia"/>
                <w:color w:val="000000"/>
              </w:rPr>
              <w:t>大宗商品中级投研</w:t>
            </w:r>
          </w:p>
        </w:tc>
        <w:tc>
          <w:tcPr>
            <w:tcW w:w="0" w:type="auto"/>
            <w:tcBorders>
              <w:top w:val="nil"/>
              <w:left w:val="nil"/>
              <w:bottom w:val="single" w:color="auto" w:sz="4" w:space="0"/>
              <w:right w:val="single" w:color="auto" w:sz="4" w:space="0"/>
            </w:tcBorders>
            <w:shd w:val="clear" w:color="auto" w:fill="auto"/>
            <w:vAlign w:val="center"/>
          </w:tcPr>
          <w:p w14:paraId="21EF8BEA">
            <w:pPr>
              <w:rPr>
                <w:rFonts w:hint="eastAsia" w:ascii="仿宋_GB2312" w:hAnsi="等线" w:eastAsia="仿宋_GB2312"/>
                <w:color w:val="000000"/>
              </w:rPr>
            </w:pPr>
            <w:r>
              <w:rPr>
                <w:rFonts w:hint="eastAsia" w:ascii="仿宋_GB2312" w:hAnsi="等线" w:eastAsia="仿宋_GB2312"/>
                <w:color w:val="000000"/>
              </w:rPr>
              <w:t xml:space="preserve">3.1.1 </w:t>
            </w:r>
            <w:r>
              <w:rPr>
                <w:rFonts w:hint="eastAsia"/>
                <w:color w:val="000000"/>
              </w:rPr>
              <w:t>掌握大宗商品的主要类型，并且能够熟练使用大宗商品投研工具。</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DD74235">
            <w:pPr>
              <w:jc w:val="center"/>
              <w:rPr>
                <w:rFonts w:hint="eastAsia" w:ascii="等线" w:hAnsi="等线" w:eastAsia="等线"/>
                <w:color w:val="000000"/>
                <w:sz w:val="22"/>
              </w:rPr>
            </w:pPr>
            <w:r>
              <w:rPr>
                <w:rFonts w:hint="eastAsia" w:ascii="等线" w:hAnsi="等线" w:eastAsia="等线"/>
                <w:color w:val="000000"/>
                <w:sz w:val="22"/>
              </w:rPr>
              <w:t>大宗商品市场、投资分析与工具，及对冲策略设计、美林时钟应用、智能投顾与大宗商品配置、周期性投资方案知识要求。</w:t>
            </w:r>
          </w:p>
        </w:tc>
      </w:tr>
      <w:tr w14:paraId="1659741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3820D2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F3FF97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451678D">
            <w:pPr>
              <w:rPr>
                <w:rFonts w:hint="eastAsia" w:ascii="仿宋_GB2312" w:hAnsi="等线" w:eastAsia="仿宋_GB2312"/>
                <w:color w:val="000000"/>
              </w:rPr>
            </w:pPr>
            <w:r>
              <w:rPr>
                <w:rFonts w:hint="eastAsia" w:ascii="仿宋_GB2312" w:hAnsi="等线" w:eastAsia="仿宋_GB2312"/>
                <w:color w:val="000000"/>
              </w:rPr>
              <w:t xml:space="preserve">3.1.2 </w:t>
            </w:r>
            <w:r>
              <w:rPr>
                <w:rFonts w:hint="eastAsia"/>
                <w:color w:val="000000"/>
              </w:rPr>
              <w:t>利用大宗商品的特点配置简单的对冲方案。</w:t>
            </w:r>
          </w:p>
        </w:tc>
        <w:tc>
          <w:tcPr>
            <w:tcW w:w="0" w:type="auto"/>
            <w:vMerge w:val="continue"/>
            <w:tcBorders>
              <w:top w:val="nil"/>
              <w:left w:val="single" w:color="auto" w:sz="4" w:space="0"/>
              <w:bottom w:val="single" w:color="auto" w:sz="4" w:space="0"/>
              <w:right w:val="single" w:color="auto" w:sz="4" w:space="0"/>
            </w:tcBorders>
            <w:vAlign w:val="center"/>
          </w:tcPr>
          <w:p w14:paraId="01FE5D99">
            <w:pPr>
              <w:rPr>
                <w:rFonts w:ascii="等线" w:hAnsi="等线" w:eastAsia="等线"/>
                <w:color w:val="000000"/>
                <w:sz w:val="22"/>
              </w:rPr>
            </w:pPr>
          </w:p>
        </w:tc>
      </w:tr>
      <w:tr w14:paraId="78FC98C9">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0C7C1C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A626A0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C89795C">
            <w:pPr>
              <w:rPr>
                <w:rFonts w:hint="eastAsia" w:ascii="仿宋_GB2312" w:hAnsi="等线" w:eastAsia="仿宋_GB2312"/>
                <w:color w:val="000000"/>
              </w:rPr>
            </w:pPr>
            <w:r>
              <w:rPr>
                <w:rFonts w:hint="eastAsia" w:ascii="仿宋_GB2312" w:hAnsi="等线" w:eastAsia="仿宋_GB2312"/>
                <w:color w:val="000000"/>
              </w:rPr>
              <w:t xml:space="preserve">3.1.3 </w:t>
            </w:r>
            <w:r>
              <w:rPr>
                <w:rFonts w:hint="eastAsia"/>
                <w:color w:val="000000"/>
              </w:rPr>
              <w:t>利用美林时钟配置周期性的大宗商品方案。</w:t>
            </w:r>
          </w:p>
        </w:tc>
        <w:tc>
          <w:tcPr>
            <w:tcW w:w="0" w:type="auto"/>
            <w:vMerge w:val="continue"/>
            <w:tcBorders>
              <w:top w:val="nil"/>
              <w:left w:val="single" w:color="auto" w:sz="4" w:space="0"/>
              <w:bottom w:val="single" w:color="auto" w:sz="4" w:space="0"/>
              <w:right w:val="single" w:color="auto" w:sz="4" w:space="0"/>
            </w:tcBorders>
            <w:vAlign w:val="center"/>
          </w:tcPr>
          <w:p w14:paraId="4101B153">
            <w:pPr>
              <w:rPr>
                <w:rFonts w:ascii="等线" w:hAnsi="等线" w:eastAsia="等线"/>
                <w:color w:val="000000"/>
                <w:sz w:val="22"/>
              </w:rPr>
            </w:pPr>
          </w:p>
        </w:tc>
      </w:tr>
      <w:tr w14:paraId="4CE92C50">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D7E5CD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3BC8DD4">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399E32B">
            <w:pPr>
              <w:rPr>
                <w:rFonts w:hint="eastAsia" w:ascii="仿宋_GB2312" w:hAnsi="等线" w:eastAsia="仿宋_GB2312"/>
                <w:color w:val="000000"/>
              </w:rPr>
            </w:pPr>
            <w:r>
              <w:rPr>
                <w:rFonts w:hint="eastAsia" w:ascii="仿宋_GB2312" w:hAnsi="等线" w:eastAsia="仿宋_GB2312"/>
                <w:color w:val="000000"/>
              </w:rPr>
              <w:t xml:space="preserve">3.1.4 </w:t>
            </w:r>
            <w:r>
              <w:rPr>
                <w:rFonts w:hint="eastAsia"/>
                <w:color w:val="000000"/>
              </w:rPr>
              <w:t>熟练使用智能投顾工具配置相关大宗商品的产品方案。</w:t>
            </w:r>
          </w:p>
        </w:tc>
        <w:tc>
          <w:tcPr>
            <w:tcW w:w="0" w:type="auto"/>
            <w:vMerge w:val="continue"/>
            <w:tcBorders>
              <w:top w:val="nil"/>
              <w:left w:val="single" w:color="auto" w:sz="4" w:space="0"/>
              <w:bottom w:val="single" w:color="auto" w:sz="4" w:space="0"/>
              <w:right w:val="single" w:color="auto" w:sz="4" w:space="0"/>
            </w:tcBorders>
            <w:vAlign w:val="center"/>
          </w:tcPr>
          <w:p w14:paraId="31ACCAB4">
            <w:pPr>
              <w:rPr>
                <w:rFonts w:ascii="等线" w:hAnsi="等线" w:eastAsia="等线"/>
                <w:color w:val="000000"/>
                <w:sz w:val="22"/>
              </w:rPr>
            </w:pPr>
          </w:p>
        </w:tc>
      </w:tr>
      <w:tr w14:paraId="55EA824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855D97F">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085AE37">
            <w:pPr>
              <w:rPr>
                <w:rFonts w:hint="eastAsia" w:ascii="仿宋_GB2312" w:hAnsi="等线" w:eastAsia="仿宋_GB2312"/>
                <w:color w:val="000000"/>
              </w:rPr>
            </w:pPr>
            <w:r>
              <w:rPr>
                <w:rFonts w:hint="eastAsia" w:ascii="仿宋_GB2312" w:hAnsi="等线" w:eastAsia="仿宋_GB2312"/>
                <w:color w:val="000000"/>
              </w:rPr>
              <w:t xml:space="preserve">3.2 </w:t>
            </w:r>
            <w:r>
              <w:rPr>
                <w:rFonts w:hint="eastAsia"/>
                <w:color w:val="000000"/>
              </w:rPr>
              <w:t>信托产品中级投研</w:t>
            </w:r>
          </w:p>
        </w:tc>
        <w:tc>
          <w:tcPr>
            <w:tcW w:w="0" w:type="auto"/>
            <w:tcBorders>
              <w:top w:val="nil"/>
              <w:left w:val="nil"/>
              <w:bottom w:val="single" w:color="auto" w:sz="4" w:space="0"/>
              <w:right w:val="single" w:color="auto" w:sz="4" w:space="0"/>
            </w:tcBorders>
            <w:shd w:val="clear" w:color="auto" w:fill="auto"/>
            <w:vAlign w:val="center"/>
          </w:tcPr>
          <w:p w14:paraId="237915A0">
            <w:pPr>
              <w:rPr>
                <w:rFonts w:hint="eastAsia" w:ascii="仿宋_GB2312" w:hAnsi="等线" w:eastAsia="仿宋_GB2312"/>
                <w:color w:val="000000"/>
              </w:rPr>
            </w:pPr>
            <w:r>
              <w:rPr>
                <w:rFonts w:hint="eastAsia" w:ascii="仿宋_GB2312" w:hAnsi="等线" w:eastAsia="仿宋_GB2312"/>
                <w:color w:val="000000"/>
              </w:rPr>
              <w:t xml:space="preserve">3.2.1 </w:t>
            </w:r>
            <w:r>
              <w:rPr>
                <w:rFonts w:hint="eastAsia"/>
                <w:color w:val="000000"/>
              </w:rPr>
              <w:t>掌握信托产品的主要类型，并且能够熟练使用信托产品投研工具。</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73F63F4">
            <w:pPr>
              <w:jc w:val="center"/>
              <w:rPr>
                <w:rFonts w:hint="eastAsia" w:ascii="等线" w:hAnsi="等线" w:eastAsia="等线"/>
                <w:color w:val="000000"/>
                <w:sz w:val="22"/>
              </w:rPr>
            </w:pPr>
            <w:r>
              <w:rPr>
                <w:rFonts w:hint="eastAsia" w:ascii="等线" w:hAnsi="等线" w:eastAsia="等线"/>
                <w:color w:val="000000"/>
                <w:sz w:val="22"/>
              </w:rPr>
              <w:t>信托产品与投资、金融工具应用，及信托产品对冲策略、信托多功能应用、智能投顾与信托配置、信托产品方案设计知识要求。</w:t>
            </w:r>
          </w:p>
        </w:tc>
      </w:tr>
      <w:tr w14:paraId="4840025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09414E4">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BF22C6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49EEA8D">
            <w:pPr>
              <w:rPr>
                <w:rFonts w:hint="eastAsia" w:ascii="仿宋_GB2312" w:hAnsi="等线" w:eastAsia="仿宋_GB2312"/>
                <w:color w:val="000000"/>
              </w:rPr>
            </w:pPr>
            <w:r>
              <w:rPr>
                <w:rFonts w:hint="eastAsia" w:ascii="仿宋_GB2312" w:hAnsi="等线" w:eastAsia="仿宋_GB2312"/>
                <w:color w:val="000000"/>
              </w:rPr>
              <w:t xml:space="preserve">3.2.2 </w:t>
            </w:r>
            <w:r>
              <w:rPr>
                <w:rFonts w:hint="eastAsia"/>
                <w:color w:val="000000"/>
              </w:rPr>
              <w:t>利用信托产品的特点配置简单的对冲方案。</w:t>
            </w:r>
          </w:p>
        </w:tc>
        <w:tc>
          <w:tcPr>
            <w:tcW w:w="0" w:type="auto"/>
            <w:vMerge w:val="continue"/>
            <w:tcBorders>
              <w:top w:val="nil"/>
              <w:left w:val="single" w:color="auto" w:sz="4" w:space="0"/>
              <w:bottom w:val="single" w:color="auto" w:sz="4" w:space="0"/>
              <w:right w:val="single" w:color="auto" w:sz="4" w:space="0"/>
            </w:tcBorders>
            <w:vAlign w:val="center"/>
          </w:tcPr>
          <w:p w14:paraId="1F98E96F">
            <w:pPr>
              <w:rPr>
                <w:rFonts w:ascii="等线" w:hAnsi="等线" w:eastAsia="等线"/>
                <w:color w:val="000000"/>
                <w:sz w:val="22"/>
              </w:rPr>
            </w:pPr>
          </w:p>
        </w:tc>
      </w:tr>
      <w:tr w14:paraId="5176F63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AA7AF1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DF497C9">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B6FEE15">
            <w:pPr>
              <w:rPr>
                <w:rFonts w:hint="eastAsia" w:ascii="仿宋_GB2312" w:hAnsi="等线" w:eastAsia="仿宋_GB2312"/>
                <w:color w:val="000000"/>
              </w:rPr>
            </w:pPr>
            <w:r>
              <w:rPr>
                <w:rFonts w:hint="eastAsia" w:ascii="仿宋_GB2312" w:hAnsi="等线" w:eastAsia="仿宋_GB2312"/>
                <w:color w:val="000000"/>
              </w:rPr>
              <w:t xml:space="preserve">3.2.3 </w:t>
            </w:r>
            <w:r>
              <w:rPr>
                <w:rFonts w:hint="eastAsia"/>
                <w:color w:val="000000"/>
              </w:rPr>
              <w:t>利用信托工具进行除投资以外的信托产品应用。</w:t>
            </w:r>
          </w:p>
        </w:tc>
        <w:tc>
          <w:tcPr>
            <w:tcW w:w="0" w:type="auto"/>
            <w:vMerge w:val="continue"/>
            <w:tcBorders>
              <w:top w:val="nil"/>
              <w:left w:val="single" w:color="auto" w:sz="4" w:space="0"/>
              <w:bottom w:val="single" w:color="auto" w:sz="4" w:space="0"/>
              <w:right w:val="single" w:color="auto" w:sz="4" w:space="0"/>
            </w:tcBorders>
            <w:vAlign w:val="center"/>
          </w:tcPr>
          <w:p w14:paraId="700D8367">
            <w:pPr>
              <w:rPr>
                <w:rFonts w:ascii="等线" w:hAnsi="等线" w:eastAsia="等线"/>
                <w:color w:val="000000"/>
                <w:sz w:val="22"/>
              </w:rPr>
            </w:pPr>
          </w:p>
        </w:tc>
      </w:tr>
      <w:tr w14:paraId="21009DB2">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BD04FC1">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1908CA8">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170F84E">
            <w:pPr>
              <w:rPr>
                <w:rFonts w:hint="eastAsia" w:ascii="仿宋_GB2312" w:hAnsi="等线" w:eastAsia="仿宋_GB2312"/>
                <w:color w:val="000000"/>
              </w:rPr>
            </w:pPr>
            <w:r>
              <w:rPr>
                <w:rFonts w:hint="eastAsia" w:ascii="仿宋_GB2312" w:hAnsi="等线" w:eastAsia="仿宋_GB2312"/>
                <w:color w:val="000000"/>
              </w:rPr>
              <w:t xml:space="preserve">3.2.4 </w:t>
            </w:r>
            <w:r>
              <w:rPr>
                <w:rFonts w:hint="eastAsia"/>
                <w:color w:val="000000"/>
              </w:rPr>
              <w:t>熟练使用通过智能投顾工具配置相关信托产品的产品方案。</w:t>
            </w:r>
          </w:p>
        </w:tc>
        <w:tc>
          <w:tcPr>
            <w:tcW w:w="0" w:type="auto"/>
            <w:vMerge w:val="continue"/>
            <w:tcBorders>
              <w:top w:val="nil"/>
              <w:left w:val="single" w:color="auto" w:sz="4" w:space="0"/>
              <w:bottom w:val="single" w:color="auto" w:sz="4" w:space="0"/>
              <w:right w:val="single" w:color="auto" w:sz="4" w:space="0"/>
            </w:tcBorders>
            <w:vAlign w:val="center"/>
          </w:tcPr>
          <w:p w14:paraId="65F271B2">
            <w:pPr>
              <w:rPr>
                <w:rFonts w:ascii="等线" w:hAnsi="等线" w:eastAsia="等线"/>
                <w:color w:val="000000"/>
                <w:sz w:val="22"/>
              </w:rPr>
            </w:pPr>
          </w:p>
        </w:tc>
      </w:tr>
      <w:tr w14:paraId="4659822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FAE876A">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58DA780">
            <w:pPr>
              <w:rPr>
                <w:rFonts w:hint="eastAsia" w:ascii="仿宋_GB2312" w:hAnsi="等线" w:eastAsia="仿宋_GB2312"/>
                <w:color w:val="000000"/>
              </w:rPr>
            </w:pPr>
            <w:r>
              <w:rPr>
                <w:rFonts w:hint="eastAsia" w:ascii="仿宋_GB2312" w:hAnsi="等线" w:eastAsia="仿宋_GB2312"/>
                <w:color w:val="000000"/>
              </w:rPr>
              <w:t xml:space="preserve">3.3 </w:t>
            </w:r>
            <w:r>
              <w:rPr>
                <w:rFonts w:hint="eastAsia"/>
                <w:color w:val="000000"/>
              </w:rPr>
              <w:t>复杂金融产品销售</w:t>
            </w:r>
          </w:p>
        </w:tc>
        <w:tc>
          <w:tcPr>
            <w:tcW w:w="0" w:type="auto"/>
            <w:tcBorders>
              <w:top w:val="nil"/>
              <w:left w:val="nil"/>
              <w:bottom w:val="single" w:color="auto" w:sz="4" w:space="0"/>
              <w:right w:val="single" w:color="auto" w:sz="4" w:space="0"/>
            </w:tcBorders>
            <w:shd w:val="clear" w:color="auto" w:fill="auto"/>
            <w:vAlign w:val="center"/>
          </w:tcPr>
          <w:p w14:paraId="365FC9F8">
            <w:pPr>
              <w:rPr>
                <w:rFonts w:hint="eastAsia" w:ascii="仿宋_GB2312" w:hAnsi="等线" w:eastAsia="仿宋_GB2312"/>
                <w:color w:val="000000"/>
              </w:rPr>
            </w:pPr>
            <w:r>
              <w:rPr>
                <w:rFonts w:hint="eastAsia" w:ascii="仿宋_GB2312" w:hAnsi="等线" w:eastAsia="仿宋_GB2312"/>
                <w:color w:val="000000"/>
              </w:rPr>
              <w:t xml:space="preserve">3.3.1 </w:t>
            </w:r>
            <w:r>
              <w:rPr>
                <w:rFonts w:hint="eastAsia"/>
                <w:color w:val="000000"/>
              </w:rPr>
              <w:t>掌握复杂金融产品的主要类型，并且能够熟练使用信托产品投研工具。</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3D3FB39">
            <w:pPr>
              <w:jc w:val="center"/>
              <w:rPr>
                <w:rFonts w:hint="eastAsia" w:ascii="等线" w:hAnsi="等线" w:eastAsia="等线"/>
                <w:color w:val="000000"/>
                <w:sz w:val="22"/>
              </w:rPr>
            </w:pPr>
            <w:r>
              <w:rPr>
                <w:rFonts w:hint="eastAsia" w:ascii="等线" w:hAnsi="等线" w:eastAsia="等线"/>
                <w:color w:val="000000"/>
                <w:sz w:val="22"/>
              </w:rPr>
              <w:t>复杂金融产品分析、智能投顾应用，及金融产品属性解读、复杂产品营销策略、获客技巧与实践、智能投顾评分系统知识要求。</w:t>
            </w:r>
          </w:p>
        </w:tc>
      </w:tr>
      <w:tr w14:paraId="6D66253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2E3518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5BBCB2A">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06DCE5E">
            <w:pPr>
              <w:rPr>
                <w:rFonts w:hint="eastAsia" w:ascii="仿宋_GB2312" w:hAnsi="等线" w:eastAsia="仿宋_GB2312"/>
                <w:color w:val="000000"/>
              </w:rPr>
            </w:pPr>
            <w:r>
              <w:rPr>
                <w:rFonts w:hint="eastAsia" w:ascii="仿宋_GB2312" w:hAnsi="等线" w:eastAsia="仿宋_GB2312"/>
                <w:color w:val="000000"/>
              </w:rPr>
              <w:t xml:space="preserve">3.3.2 </w:t>
            </w:r>
            <w:r>
              <w:rPr>
                <w:rFonts w:hint="eastAsia"/>
                <w:color w:val="000000"/>
              </w:rPr>
              <w:t>能够向客户解读结合智能投顾工具的发掘金融产品的属性及特点。</w:t>
            </w:r>
          </w:p>
        </w:tc>
        <w:tc>
          <w:tcPr>
            <w:tcW w:w="0" w:type="auto"/>
            <w:vMerge w:val="continue"/>
            <w:tcBorders>
              <w:top w:val="nil"/>
              <w:left w:val="single" w:color="auto" w:sz="4" w:space="0"/>
              <w:bottom w:val="single" w:color="auto" w:sz="4" w:space="0"/>
              <w:right w:val="single" w:color="auto" w:sz="4" w:space="0"/>
            </w:tcBorders>
            <w:vAlign w:val="center"/>
          </w:tcPr>
          <w:p w14:paraId="6F92CA41">
            <w:pPr>
              <w:rPr>
                <w:rFonts w:ascii="等线" w:hAnsi="等线" w:eastAsia="等线"/>
                <w:color w:val="000000"/>
                <w:sz w:val="22"/>
              </w:rPr>
            </w:pPr>
          </w:p>
        </w:tc>
      </w:tr>
      <w:tr w14:paraId="3F78367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2AE5D5D">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6407D0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309FB0C">
            <w:pPr>
              <w:rPr>
                <w:rFonts w:hint="eastAsia" w:ascii="仿宋_GB2312" w:hAnsi="等线" w:eastAsia="仿宋_GB2312"/>
                <w:color w:val="000000"/>
              </w:rPr>
            </w:pPr>
            <w:r>
              <w:rPr>
                <w:rFonts w:hint="eastAsia" w:ascii="仿宋_GB2312" w:hAnsi="等线" w:eastAsia="仿宋_GB2312"/>
                <w:color w:val="000000"/>
              </w:rPr>
              <w:t xml:space="preserve">3.3.3 </w:t>
            </w:r>
            <w:r>
              <w:rPr>
                <w:rFonts w:hint="eastAsia"/>
                <w:color w:val="000000"/>
              </w:rPr>
              <w:t>能够向客户进行复杂产品产品的营销工作，并且掌握获客技巧。</w:t>
            </w:r>
          </w:p>
        </w:tc>
        <w:tc>
          <w:tcPr>
            <w:tcW w:w="0" w:type="auto"/>
            <w:vMerge w:val="continue"/>
            <w:tcBorders>
              <w:top w:val="nil"/>
              <w:left w:val="single" w:color="auto" w:sz="4" w:space="0"/>
              <w:bottom w:val="single" w:color="auto" w:sz="4" w:space="0"/>
              <w:right w:val="single" w:color="auto" w:sz="4" w:space="0"/>
            </w:tcBorders>
            <w:vAlign w:val="center"/>
          </w:tcPr>
          <w:p w14:paraId="50F0C311">
            <w:pPr>
              <w:rPr>
                <w:rFonts w:ascii="等线" w:hAnsi="等线" w:eastAsia="等线"/>
                <w:color w:val="000000"/>
                <w:sz w:val="22"/>
              </w:rPr>
            </w:pPr>
          </w:p>
        </w:tc>
      </w:tr>
      <w:tr w14:paraId="51E51D2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1CF7F61">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0566C88">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E8E4B0A">
            <w:pPr>
              <w:rPr>
                <w:rFonts w:hint="eastAsia" w:ascii="仿宋_GB2312" w:hAnsi="等线" w:eastAsia="仿宋_GB2312"/>
                <w:color w:val="000000"/>
              </w:rPr>
            </w:pPr>
            <w:r>
              <w:rPr>
                <w:rFonts w:hint="eastAsia" w:ascii="仿宋_GB2312" w:hAnsi="等线" w:eastAsia="仿宋_GB2312"/>
                <w:color w:val="000000"/>
              </w:rPr>
              <w:t xml:space="preserve">3.3.4 </w:t>
            </w:r>
            <w:r>
              <w:rPr>
                <w:rFonts w:hint="eastAsia"/>
                <w:color w:val="000000"/>
              </w:rPr>
              <w:t>能够结合智能投顾工具进行复杂金融产品的评分工作。</w:t>
            </w:r>
          </w:p>
        </w:tc>
        <w:tc>
          <w:tcPr>
            <w:tcW w:w="0" w:type="auto"/>
            <w:vMerge w:val="continue"/>
            <w:tcBorders>
              <w:top w:val="nil"/>
              <w:left w:val="single" w:color="auto" w:sz="4" w:space="0"/>
              <w:bottom w:val="single" w:color="auto" w:sz="4" w:space="0"/>
              <w:right w:val="single" w:color="auto" w:sz="4" w:space="0"/>
            </w:tcBorders>
            <w:vAlign w:val="center"/>
          </w:tcPr>
          <w:p w14:paraId="13E1A0DE">
            <w:pPr>
              <w:rPr>
                <w:rFonts w:ascii="等线" w:hAnsi="等线" w:eastAsia="等线"/>
                <w:color w:val="000000"/>
                <w:sz w:val="22"/>
              </w:rPr>
            </w:pPr>
          </w:p>
        </w:tc>
      </w:tr>
      <w:tr w14:paraId="64AE4D5C">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D9BECA1">
            <w:pPr>
              <w:rPr>
                <w:rFonts w:hint="eastAsia" w:ascii="仿宋_GB2312" w:hAnsi="等线" w:eastAsia="仿宋_GB2312"/>
                <w:color w:val="000000"/>
              </w:rPr>
            </w:pPr>
            <w:r>
              <w:rPr>
                <w:rFonts w:hint="eastAsia" w:ascii="仿宋_GB2312" w:hAnsi="等线" w:eastAsia="仿宋_GB2312"/>
                <w:color w:val="000000"/>
              </w:rPr>
              <w:t>4.</w:t>
            </w:r>
            <w:r>
              <w:rPr>
                <w:rFonts w:hint="eastAsia"/>
                <w:color w:val="000000"/>
              </w:rPr>
              <w:t>理财规划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1D1D4AC">
            <w:pPr>
              <w:rPr>
                <w:rFonts w:hint="eastAsia" w:ascii="仿宋_GB2312" w:hAnsi="等线" w:eastAsia="仿宋_GB2312"/>
                <w:color w:val="000000"/>
              </w:rPr>
            </w:pPr>
            <w:r>
              <w:rPr>
                <w:rFonts w:hint="eastAsia" w:ascii="仿宋_GB2312" w:hAnsi="等线" w:eastAsia="仿宋_GB2312"/>
                <w:color w:val="000000"/>
              </w:rPr>
              <w:t xml:space="preserve">4.1 </w:t>
            </w:r>
            <w:r>
              <w:rPr>
                <w:rFonts w:hint="eastAsia"/>
                <w:color w:val="000000"/>
              </w:rPr>
              <w:t>单项理财规划</w:t>
            </w:r>
          </w:p>
        </w:tc>
        <w:tc>
          <w:tcPr>
            <w:tcW w:w="0" w:type="auto"/>
            <w:tcBorders>
              <w:top w:val="nil"/>
              <w:left w:val="nil"/>
              <w:bottom w:val="single" w:color="auto" w:sz="4" w:space="0"/>
              <w:right w:val="single" w:color="auto" w:sz="4" w:space="0"/>
            </w:tcBorders>
            <w:shd w:val="clear" w:color="auto" w:fill="auto"/>
            <w:vAlign w:val="center"/>
          </w:tcPr>
          <w:p w14:paraId="29D8B1D0">
            <w:pPr>
              <w:rPr>
                <w:rFonts w:hint="eastAsia" w:ascii="仿宋_GB2312" w:hAnsi="等线" w:eastAsia="仿宋_GB2312"/>
                <w:color w:val="000000"/>
              </w:rPr>
            </w:pPr>
            <w:r>
              <w:rPr>
                <w:rFonts w:hint="eastAsia" w:ascii="仿宋_GB2312" w:hAnsi="等线" w:eastAsia="仿宋_GB2312"/>
                <w:color w:val="000000"/>
              </w:rPr>
              <w:t xml:space="preserve">4.1.1 </w:t>
            </w:r>
            <w:r>
              <w:rPr>
                <w:rFonts w:hint="eastAsia"/>
                <w:color w:val="000000"/>
              </w:rPr>
              <w:t>能够熟练为客户制定养老规划方案，并且辅以使用智能投顾工具。</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92A3E8B">
            <w:pPr>
              <w:jc w:val="center"/>
              <w:rPr>
                <w:rFonts w:hint="eastAsia" w:ascii="等线" w:hAnsi="等线" w:eastAsia="等线"/>
                <w:color w:val="000000"/>
                <w:sz w:val="22"/>
              </w:rPr>
            </w:pPr>
            <w:r>
              <w:rPr>
                <w:rFonts w:hint="eastAsia" w:ascii="等线" w:hAnsi="等线" w:eastAsia="等线"/>
                <w:color w:val="000000"/>
                <w:sz w:val="22"/>
              </w:rPr>
              <w:t>个人理财规划、智能投顾应用，及养老与教育规划、财税筹划、不动产投资与管理、财富传承策略及智能工具应用知识要求。</w:t>
            </w:r>
          </w:p>
        </w:tc>
      </w:tr>
      <w:tr w14:paraId="6591B2B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DDAADC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94A29C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D307EE5">
            <w:pPr>
              <w:rPr>
                <w:rFonts w:hint="eastAsia" w:ascii="仿宋_GB2312" w:hAnsi="等线" w:eastAsia="仿宋_GB2312"/>
                <w:color w:val="000000"/>
              </w:rPr>
            </w:pPr>
            <w:r>
              <w:rPr>
                <w:rFonts w:hint="eastAsia" w:ascii="仿宋_GB2312" w:hAnsi="等线" w:eastAsia="仿宋_GB2312"/>
                <w:color w:val="000000"/>
              </w:rPr>
              <w:t xml:space="preserve">4.1.2 </w:t>
            </w:r>
            <w:r>
              <w:rPr>
                <w:rFonts w:hint="eastAsia"/>
                <w:color w:val="000000"/>
              </w:rPr>
              <w:t>能够熟练为客户制定教育规划方案，并且辅以使用智能投顾工具。</w:t>
            </w:r>
          </w:p>
        </w:tc>
        <w:tc>
          <w:tcPr>
            <w:tcW w:w="0" w:type="auto"/>
            <w:vMerge w:val="continue"/>
            <w:tcBorders>
              <w:top w:val="nil"/>
              <w:left w:val="single" w:color="auto" w:sz="4" w:space="0"/>
              <w:bottom w:val="single" w:color="auto" w:sz="4" w:space="0"/>
              <w:right w:val="single" w:color="auto" w:sz="4" w:space="0"/>
            </w:tcBorders>
            <w:vAlign w:val="center"/>
          </w:tcPr>
          <w:p w14:paraId="5880F05B">
            <w:pPr>
              <w:rPr>
                <w:rFonts w:ascii="等线" w:hAnsi="等线" w:eastAsia="等线"/>
                <w:color w:val="000000"/>
                <w:sz w:val="22"/>
              </w:rPr>
            </w:pPr>
          </w:p>
        </w:tc>
      </w:tr>
      <w:tr w14:paraId="59AE50B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182FB24">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8E95EE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BEBBBE8">
            <w:pPr>
              <w:rPr>
                <w:rFonts w:hint="eastAsia" w:ascii="仿宋_GB2312" w:hAnsi="等线" w:eastAsia="仿宋_GB2312"/>
                <w:color w:val="000000"/>
              </w:rPr>
            </w:pPr>
            <w:r>
              <w:rPr>
                <w:rFonts w:hint="eastAsia" w:ascii="仿宋_GB2312" w:hAnsi="等线" w:eastAsia="仿宋_GB2312"/>
                <w:color w:val="000000"/>
              </w:rPr>
              <w:t xml:space="preserve">4.1.3 </w:t>
            </w:r>
            <w:r>
              <w:rPr>
                <w:rFonts w:hint="eastAsia"/>
                <w:color w:val="000000"/>
              </w:rPr>
              <w:t>能够熟练为客户制定财税规划方案，并且辅以使用智能投顾工具。</w:t>
            </w:r>
          </w:p>
        </w:tc>
        <w:tc>
          <w:tcPr>
            <w:tcW w:w="0" w:type="auto"/>
            <w:vMerge w:val="continue"/>
            <w:tcBorders>
              <w:top w:val="nil"/>
              <w:left w:val="single" w:color="auto" w:sz="4" w:space="0"/>
              <w:bottom w:val="single" w:color="auto" w:sz="4" w:space="0"/>
              <w:right w:val="single" w:color="auto" w:sz="4" w:space="0"/>
            </w:tcBorders>
            <w:vAlign w:val="center"/>
          </w:tcPr>
          <w:p w14:paraId="4D949F41">
            <w:pPr>
              <w:rPr>
                <w:rFonts w:ascii="等线" w:hAnsi="等线" w:eastAsia="等线"/>
                <w:color w:val="000000"/>
                <w:sz w:val="22"/>
              </w:rPr>
            </w:pPr>
          </w:p>
        </w:tc>
      </w:tr>
      <w:tr w14:paraId="191CE890">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F5B36A1">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94B702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E1AE582">
            <w:pPr>
              <w:rPr>
                <w:rFonts w:hint="eastAsia" w:ascii="仿宋_GB2312" w:hAnsi="等线" w:eastAsia="仿宋_GB2312"/>
                <w:color w:val="000000"/>
              </w:rPr>
            </w:pPr>
            <w:r>
              <w:rPr>
                <w:rFonts w:hint="eastAsia" w:ascii="仿宋_GB2312" w:hAnsi="等线" w:eastAsia="仿宋_GB2312"/>
                <w:color w:val="000000"/>
              </w:rPr>
              <w:t xml:space="preserve">4.1.4 </w:t>
            </w:r>
            <w:r>
              <w:rPr>
                <w:rFonts w:hint="eastAsia"/>
                <w:color w:val="000000"/>
              </w:rPr>
              <w:t>能够熟练为客户制定不动产规划方案，并且辅以使用智能投顾工具。</w:t>
            </w:r>
          </w:p>
        </w:tc>
        <w:tc>
          <w:tcPr>
            <w:tcW w:w="0" w:type="auto"/>
            <w:vMerge w:val="continue"/>
            <w:tcBorders>
              <w:top w:val="nil"/>
              <w:left w:val="single" w:color="auto" w:sz="4" w:space="0"/>
              <w:bottom w:val="single" w:color="auto" w:sz="4" w:space="0"/>
              <w:right w:val="single" w:color="auto" w:sz="4" w:space="0"/>
            </w:tcBorders>
            <w:vAlign w:val="center"/>
          </w:tcPr>
          <w:p w14:paraId="08E3756F">
            <w:pPr>
              <w:rPr>
                <w:rFonts w:ascii="等线" w:hAnsi="等线" w:eastAsia="等线"/>
                <w:color w:val="000000"/>
                <w:sz w:val="22"/>
              </w:rPr>
            </w:pPr>
          </w:p>
        </w:tc>
      </w:tr>
      <w:tr w14:paraId="5DCF4D9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512898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33194E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02AD5AA">
            <w:pPr>
              <w:rPr>
                <w:rFonts w:hint="eastAsia" w:ascii="仿宋_GB2312" w:hAnsi="等线" w:eastAsia="仿宋_GB2312"/>
                <w:color w:val="000000"/>
              </w:rPr>
            </w:pPr>
            <w:r>
              <w:rPr>
                <w:rFonts w:hint="eastAsia" w:ascii="仿宋_GB2312" w:hAnsi="等线" w:eastAsia="仿宋_GB2312"/>
                <w:color w:val="000000"/>
              </w:rPr>
              <w:t xml:space="preserve">4.1.5 </w:t>
            </w:r>
            <w:r>
              <w:rPr>
                <w:rFonts w:hint="eastAsia"/>
                <w:color w:val="000000"/>
              </w:rPr>
              <w:t>能够熟练为客户制定财富传承规划方案，并且辅以使用智能投顾工具。</w:t>
            </w:r>
          </w:p>
        </w:tc>
        <w:tc>
          <w:tcPr>
            <w:tcW w:w="0" w:type="auto"/>
            <w:vMerge w:val="continue"/>
            <w:tcBorders>
              <w:top w:val="nil"/>
              <w:left w:val="single" w:color="auto" w:sz="4" w:space="0"/>
              <w:bottom w:val="single" w:color="auto" w:sz="4" w:space="0"/>
              <w:right w:val="single" w:color="auto" w:sz="4" w:space="0"/>
            </w:tcBorders>
            <w:vAlign w:val="center"/>
          </w:tcPr>
          <w:p w14:paraId="56538983">
            <w:pPr>
              <w:rPr>
                <w:rFonts w:ascii="等线" w:hAnsi="等线" w:eastAsia="等线"/>
                <w:color w:val="000000"/>
                <w:sz w:val="22"/>
              </w:rPr>
            </w:pPr>
          </w:p>
        </w:tc>
      </w:tr>
      <w:tr w14:paraId="56E3CC44">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4E176DE">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89A2600">
            <w:pPr>
              <w:rPr>
                <w:rFonts w:hint="eastAsia" w:ascii="仿宋_GB2312" w:hAnsi="等线" w:eastAsia="仿宋_GB2312"/>
                <w:color w:val="000000"/>
              </w:rPr>
            </w:pPr>
            <w:r>
              <w:rPr>
                <w:rFonts w:hint="eastAsia" w:ascii="仿宋_GB2312" w:hAnsi="等线" w:eastAsia="仿宋_GB2312"/>
                <w:color w:val="000000"/>
              </w:rPr>
              <w:t xml:space="preserve">4.2 </w:t>
            </w:r>
            <w:r>
              <w:rPr>
                <w:rFonts w:hint="eastAsia"/>
                <w:color w:val="000000"/>
              </w:rPr>
              <w:t>单项理财规划评价</w:t>
            </w:r>
          </w:p>
        </w:tc>
        <w:tc>
          <w:tcPr>
            <w:tcW w:w="0" w:type="auto"/>
            <w:tcBorders>
              <w:top w:val="nil"/>
              <w:left w:val="nil"/>
              <w:bottom w:val="single" w:color="auto" w:sz="4" w:space="0"/>
              <w:right w:val="single" w:color="auto" w:sz="4" w:space="0"/>
            </w:tcBorders>
            <w:shd w:val="clear" w:color="auto" w:fill="auto"/>
            <w:vAlign w:val="center"/>
          </w:tcPr>
          <w:p w14:paraId="1CB09183">
            <w:pPr>
              <w:rPr>
                <w:rFonts w:hint="eastAsia" w:ascii="仿宋_GB2312" w:hAnsi="等线" w:eastAsia="仿宋_GB2312"/>
                <w:color w:val="000000"/>
              </w:rPr>
            </w:pPr>
            <w:r>
              <w:rPr>
                <w:rFonts w:hint="eastAsia" w:ascii="仿宋_GB2312" w:hAnsi="等线" w:eastAsia="仿宋_GB2312"/>
                <w:color w:val="000000"/>
              </w:rPr>
              <w:t xml:space="preserve">4.2.1 </w:t>
            </w:r>
            <w:r>
              <w:rPr>
                <w:rFonts w:hint="eastAsia"/>
                <w:color w:val="000000"/>
              </w:rPr>
              <w:t>能够为各类养老规划方案进行评分并且全面评价其他典型案例。</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CCB1B51">
            <w:pPr>
              <w:jc w:val="center"/>
              <w:rPr>
                <w:rFonts w:hint="eastAsia" w:ascii="等线" w:hAnsi="等线" w:eastAsia="等线"/>
                <w:color w:val="000000"/>
                <w:sz w:val="22"/>
              </w:rPr>
            </w:pPr>
            <w:r>
              <w:rPr>
                <w:rFonts w:hint="eastAsia" w:ascii="等线" w:hAnsi="等线" w:eastAsia="等线"/>
                <w:color w:val="000000"/>
                <w:sz w:val="22"/>
              </w:rPr>
              <w:t>规划方案评估、典型案例分析，及养老教育规划评析、财税规划评估、不动产规划评价、财富传承方案分析、智能评分系统应用知识要求。</w:t>
            </w:r>
          </w:p>
        </w:tc>
      </w:tr>
      <w:tr w14:paraId="20C349B9">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C201E5F">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73A2243">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C415902">
            <w:pPr>
              <w:rPr>
                <w:rFonts w:hint="eastAsia" w:ascii="仿宋_GB2312" w:hAnsi="等线" w:eastAsia="仿宋_GB2312"/>
                <w:color w:val="000000"/>
              </w:rPr>
            </w:pPr>
            <w:r>
              <w:rPr>
                <w:rFonts w:hint="eastAsia" w:ascii="仿宋_GB2312" w:hAnsi="等线" w:eastAsia="仿宋_GB2312"/>
                <w:color w:val="000000"/>
              </w:rPr>
              <w:t xml:space="preserve">4.2.2 </w:t>
            </w:r>
            <w:r>
              <w:rPr>
                <w:rFonts w:hint="eastAsia"/>
                <w:color w:val="000000"/>
              </w:rPr>
              <w:t>能够为各类教育规划方案进行评分并且全面评价其他典型案例。</w:t>
            </w:r>
          </w:p>
        </w:tc>
        <w:tc>
          <w:tcPr>
            <w:tcW w:w="0" w:type="auto"/>
            <w:vMerge w:val="continue"/>
            <w:tcBorders>
              <w:top w:val="nil"/>
              <w:left w:val="single" w:color="auto" w:sz="4" w:space="0"/>
              <w:bottom w:val="single" w:color="auto" w:sz="4" w:space="0"/>
              <w:right w:val="single" w:color="auto" w:sz="4" w:space="0"/>
            </w:tcBorders>
            <w:vAlign w:val="center"/>
          </w:tcPr>
          <w:p w14:paraId="42004E29">
            <w:pPr>
              <w:rPr>
                <w:rFonts w:ascii="等线" w:hAnsi="等线" w:eastAsia="等线"/>
                <w:color w:val="000000"/>
                <w:sz w:val="22"/>
              </w:rPr>
            </w:pPr>
          </w:p>
        </w:tc>
      </w:tr>
      <w:tr w14:paraId="4207DF9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EEFF4F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696128E">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652B59D">
            <w:pPr>
              <w:rPr>
                <w:rFonts w:hint="eastAsia" w:ascii="仿宋_GB2312" w:hAnsi="等线" w:eastAsia="仿宋_GB2312"/>
                <w:color w:val="000000"/>
              </w:rPr>
            </w:pPr>
            <w:r>
              <w:rPr>
                <w:rFonts w:hint="eastAsia" w:ascii="仿宋_GB2312" w:hAnsi="等线" w:eastAsia="仿宋_GB2312"/>
                <w:color w:val="000000"/>
              </w:rPr>
              <w:t xml:space="preserve">4.2.3 </w:t>
            </w:r>
            <w:r>
              <w:rPr>
                <w:rFonts w:hint="eastAsia"/>
                <w:color w:val="000000"/>
              </w:rPr>
              <w:t>能够为各类财税规划方案进行评分并且全面评价其他典型案例。</w:t>
            </w:r>
          </w:p>
        </w:tc>
        <w:tc>
          <w:tcPr>
            <w:tcW w:w="0" w:type="auto"/>
            <w:vMerge w:val="continue"/>
            <w:tcBorders>
              <w:top w:val="nil"/>
              <w:left w:val="single" w:color="auto" w:sz="4" w:space="0"/>
              <w:bottom w:val="single" w:color="auto" w:sz="4" w:space="0"/>
              <w:right w:val="single" w:color="auto" w:sz="4" w:space="0"/>
            </w:tcBorders>
            <w:vAlign w:val="center"/>
          </w:tcPr>
          <w:p w14:paraId="3E0E34AE">
            <w:pPr>
              <w:rPr>
                <w:rFonts w:ascii="等线" w:hAnsi="等线" w:eastAsia="等线"/>
                <w:color w:val="000000"/>
                <w:sz w:val="22"/>
              </w:rPr>
            </w:pPr>
          </w:p>
        </w:tc>
      </w:tr>
      <w:tr w14:paraId="7D72BDE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319584E">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E5D87D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5324031">
            <w:pPr>
              <w:rPr>
                <w:rFonts w:hint="eastAsia" w:ascii="仿宋_GB2312" w:hAnsi="等线" w:eastAsia="仿宋_GB2312"/>
                <w:color w:val="000000"/>
              </w:rPr>
            </w:pPr>
            <w:r>
              <w:rPr>
                <w:rFonts w:hint="eastAsia" w:ascii="仿宋_GB2312" w:hAnsi="等线" w:eastAsia="仿宋_GB2312"/>
                <w:color w:val="000000"/>
              </w:rPr>
              <w:t xml:space="preserve">4.2.4 </w:t>
            </w:r>
            <w:r>
              <w:rPr>
                <w:rFonts w:hint="eastAsia"/>
                <w:color w:val="000000"/>
              </w:rPr>
              <w:t>能够为各类不动产规划方案进行评分并且全面评价其他典型案例。</w:t>
            </w:r>
          </w:p>
        </w:tc>
        <w:tc>
          <w:tcPr>
            <w:tcW w:w="0" w:type="auto"/>
            <w:vMerge w:val="continue"/>
            <w:tcBorders>
              <w:top w:val="nil"/>
              <w:left w:val="single" w:color="auto" w:sz="4" w:space="0"/>
              <w:bottom w:val="single" w:color="auto" w:sz="4" w:space="0"/>
              <w:right w:val="single" w:color="auto" w:sz="4" w:space="0"/>
            </w:tcBorders>
            <w:vAlign w:val="center"/>
          </w:tcPr>
          <w:p w14:paraId="13D56AE6">
            <w:pPr>
              <w:rPr>
                <w:rFonts w:ascii="等线" w:hAnsi="等线" w:eastAsia="等线"/>
                <w:color w:val="000000"/>
                <w:sz w:val="22"/>
              </w:rPr>
            </w:pPr>
          </w:p>
        </w:tc>
      </w:tr>
      <w:tr w14:paraId="0035239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5EBA07B">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B7861A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4463A40">
            <w:pPr>
              <w:rPr>
                <w:rFonts w:hint="eastAsia" w:ascii="仿宋_GB2312" w:hAnsi="等线" w:eastAsia="仿宋_GB2312"/>
                <w:color w:val="000000"/>
              </w:rPr>
            </w:pPr>
            <w:r>
              <w:rPr>
                <w:rFonts w:hint="eastAsia" w:ascii="仿宋_GB2312" w:hAnsi="等线" w:eastAsia="仿宋_GB2312"/>
                <w:color w:val="000000"/>
              </w:rPr>
              <w:t xml:space="preserve">4.2.5 </w:t>
            </w:r>
            <w:r>
              <w:rPr>
                <w:rFonts w:hint="eastAsia"/>
                <w:color w:val="000000"/>
              </w:rPr>
              <w:t>能够为各类财富传承规划方案进行评分并且全面评价其他典型案例。</w:t>
            </w:r>
          </w:p>
        </w:tc>
        <w:tc>
          <w:tcPr>
            <w:tcW w:w="0" w:type="auto"/>
            <w:vMerge w:val="continue"/>
            <w:tcBorders>
              <w:top w:val="nil"/>
              <w:left w:val="single" w:color="auto" w:sz="4" w:space="0"/>
              <w:bottom w:val="single" w:color="auto" w:sz="4" w:space="0"/>
              <w:right w:val="single" w:color="auto" w:sz="4" w:space="0"/>
            </w:tcBorders>
            <w:vAlign w:val="center"/>
          </w:tcPr>
          <w:p w14:paraId="55357E25">
            <w:pPr>
              <w:rPr>
                <w:rFonts w:ascii="等线" w:hAnsi="等线" w:eastAsia="等线"/>
                <w:color w:val="000000"/>
                <w:sz w:val="22"/>
              </w:rPr>
            </w:pPr>
          </w:p>
        </w:tc>
      </w:tr>
      <w:tr w14:paraId="4566CBD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1A22827">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4EB15AC">
            <w:pPr>
              <w:rPr>
                <w:rFonts w:hint="eastAsia" w:ascii="仿宋_GB2312" w:hAnsi="等线" w:eastAsia="仿宋_GB2312"/>
                <w:color w:val="000000"/>
              </w:rPr>
            </w:pPr>
            <w:r>
              <w:rPr>
                <w:rFonts w:hint="eastAsia" w:ascii="仿宋_GB2312" w:hAnsi="等线" w:eastAsia="仿宋_GB2312"/>
                <w:color w:val="000000"/>
              </w:rPr>
              <w:t xml:space="preserve">4.3 </w:t>
            </w:r>
            <w:r>
              <w:rPr>
                <w:rFonts w:hint="eastAsia"/>
                <w:color w:val="000000"/>
              </w:rPr>
              <w:t>智能投顾工具理财规划</w:t>
            </w:r>
          </w:p>
        </w:tc>
        <w:tc>
          <w:tcPr>
            <w:tcW w:w="0" w:type="auto"/>
            <w:tcBorders>
              <w:top w:val="nil"/>
              <w:left w:val="nil"/>
              <w:bottom w:val="single" w:color="auto" w:sz="4" w:space="0"/>
              <w:right w:val="single" w:color="auto" w:sz="4" w:space="0"/>
            </w:tcBorders>
            <w:shd w:val="clear" w:color="auto" w:fill="auto"/>
            <w:vAlign w:val="center"/>
          </w:tcPr>
          <w:p w14:paraId="19AB1D7E">
            <w:pPr>
              <w:rPr>
                <w:rFonts w:hint="eastAsia" w:ascii="仿宋_GB2312" w:hAnsi="等线" w:eastAsia="仿宋_GB2312"/>
                <w:color w:val="000000"/>
              </w:rPr>
            </w:pPr>
            <w:r>
              <w:rPr>
                <w:rFonts w:hint="eastAsia" w:ascii="仿宋_GB2312" w:hAnsi="等线" w:eastAsia="仿宋_GB2312"/>
                <w:color w:val="000000"/>
              </w:rPr>
              <w:t xml:space="preserve">4.3.1 </w:t>
            </w:r>
            <w:r>
              <w:rPr>
                <w:rFonts w:hint="eastAsia"/>
                <w:color w:val="000000"/>
              </w:rPr>
              <w:t>能够通过各类智能投顾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）向客户提供养老规划和资产配置建议书。</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49724AC">
            <w:pPr>
              <w:jc w:val="center"/>
              <w:rPr>
                <w:rFonts w:hint="eastAsia" w:ascii="等线" w:hAnsi="等线" w:eastAsia="等线"/>
                <w:color w:val="000000"/>
                <w:sz w:val="22"/>
              </w:rPr>
            </w:pPr>
            <w:r>
              <w:rPr>
                <w:rFonts w:hint="eastAsia" w:ascii="等线" w:hAnsi="等线" w:eastAsia="等线"/>
                <w:color w:val="000000"/>
                <w:sz w:val="22"/>
              </w:rPr>
              <w:t>智能投顾应用、资产配置建议，及养老教育财税规划、不动产与财富传承策略、智能投顾工具实操、个性化建议书知识要求。</w:t>
            </w:r>
          </w:p>
        </w:tc>
      </w:tr>
      <w:tr w14:paraId="6A476F8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3A6854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6536834">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8D17F4F">
            <w:pPr>
              <w:rPr>
                <w:rFonts w:hint="eastAsia" w:ascii="仿宋_GB2312" w:hAnsi="等线" w:eastAsia="仿宋_GB2312"/>
                <w:color w:val="000000"/>
              </w:rPr>
            </w:pPr>
            <w:r>
              <w:rPr>
                <w:rFonts w:hint="eastAsia" w:ascii="仿宋_GB2312" w:hAnsi="等线" w:eastAsia="仿宋_GB2312"/>
                <w:color w:val="000000"/>
              </w:rPr>
              <w:t xml:space="preserve">4.3.2 </w:t>
            </w:r>
            <w:r>
              <w:rPr>
                <w:rFonts w:hint="eastAsia"/>
                <w:color w:val="000000"/>
              </w:rPr>
              <w:t>能够通过各类智能投顾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）向客户提供教育规划和资产配置建议书。</w:t>
            </w:r>
          </w:p>
        </w:tc>
        <w:tc>
          <w:tcPr>
            <w:tcW w:w="0" w:type="auto"/>
            <w:vMerge w:val="continue"/>
            <w:tcBorders>
              <w:top w:val="nil"/>
              <w:left w:val="single" w:color="auto" w:sz="4" w:space="0"/>
              <w:bottom w:val="single" w:color="auto" w:sz="4" w:space="0"/>
              <w:right w:val="single" w:color="auto" w:sz="4" w:space="0"/>
            </w:tcBorders>
            <w:vAlign w:val="center"/>
          </w:tcPr>
          <w:p w14:paraId="180DF39C">
            <w:pPr>
              <w:rPr>
                <w:rFonts w:ascii="等线" w:hAnsi="等线" w:eastAsia="等线"/>
                <w:color w:val="000000"/>
                <w:sz w:val="22"/>
              </w:rPr>
            </w:pPr>
          </w:p>
        </w:tc>
      </w:tr>
      <w:tr w14:paraId="2ED655B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18E6F4D">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050ADF8">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22EEA7F">
            <w:pPr>
              <w:rPr>
                <w:rFonts w:hint="eastAsia" w:ascii="仿宋_GB2312" w:hAnsi="等线" w:eastAsia="仿宋_GB2312"/>
                <w:color w:val="000000"/>
              </w:rPr>
            </w:pPr>
            <w:r>
              <w:rPr>
                <w:rFonts w:hint="eastAsia" w:ascii="仿宋_GB2312" w:hAnsi="等线" w:eastAsia="仿宋_GB2312"/>
                <w:color w:val="000000"/>
              </w:rPr>
              <w:t xml:space="preserve">4.3.3 </w:t>
            </w:r>
            <w:r>
              <w:rPr>
                <w:rFonts w:hint="eastAsia"/>
                <w:color w:val="000000"/>
              </w:rPr>
              <w:t>能够通过各类智能投顾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）向客户提供财税规划和资产配置建议书。</w:t>
            </w:r>
          </w:p>
        </w:tc>
        <w:tc>
          <w:tcPr>
            <w:tcW w:w="0" w:type="auto"/>
            <w:vMerge w:val="continue"/>
            <w:tcBorders>
              <w:top w:val="nil"/>
              <w:left w:val="single" w:color="auto" w:sz="4" w:space="0"/>
              <w:bottom w:val="single" w:color="auto" w:sz="4" w:space="0"/>
              <w:right w:val="single" w:color="auto" w:sz="4" w:space="0"/>
            </w:tcBorders>
            <w:vAlign w:val="center"/>
          </w:tcPr>
          <w:p w14:paraId="2CE6D717">
            <w:pPr>
              <w:rPr>
                <w:rFonts w:ascii="等线" w:hAnsi="等线" w:eastAsia="等线"/>
                <w:color w:val="000000"/>
                <w:sz w:val="22"/>
              </w:rPr>
            </w:pPr>
          </w:p>
        </w:tc>
      </w:tr>
      <w:tr w14:paraId="1E8B5C99">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FA3F8F7">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00931C9C">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6BD5056">
            <w:pPr>
              <w:rPr>
                <w:rFonts w:hint="eastAsia" w:ascii="仿宋_GB2312" w:hAnsi="等线" w:eastAsia="仿宋_GB2312"/>
                <w:color w:val="000000"/>
              </w:rPr>
            </w:pPr>
            <w:r>
              <w:rPr>
                <w:rFonts w:hint="eastAsia" w:ascii="仿宋_GB2312" w:hAnsi="等线" w:eastAsia="仿宋_GB2312"/>
                <w:color w:val="000000"/>
              </w:rPr>
              <w:t xml:space="preserve">4.3.4 </w:t>
            </w:r>
            <w:r>
              <w:rPr>
                <w:rFonts w:hint="eastAsia"/>
                <w:color w:val="000000"/>
              </w:rPr>
              <w:t>能够通过各类智能投顾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）向客户提供不动产规划和资产配置建议书。</w:t>
            </w:r>
          </w:p>
        </w:tc>
        <w:tc>
          <w:tcPr>
            <w:tcW w:w="0" w:type="auto"/>
            <w:vMerge w:val="continue"/>
            <w:tcBorders>
              <w:top w:val="nil"/>
              <w:left w:val="single" w:color="auto" w:sz="4" w:space="0"/>
              <w:bottom w:val="single" w:color="auto" w:sz="4" w:space="0"/>
              <w:right w:val="single" w:color="auto" w:sz="4" w:space="0"/>
            </w:tcBorders>
            <w:vAlign w:val="center"/>
          </w:tcPr>
          <w:p w14:paraId="47BFA78B">
            <w:pPr>
              <w:rPr>
                <w:rFonts w:ascii="等线" w:hAnsi="等线" w:eastAsia="等线"/>
                <w:color w:val="000000"/>
                <w:sz w:val="22"/>
              </w:rPr>
            </w:pPr>
          </w:p>
        </w:tc>
      </w:tr>
      <w:tr w14:paraId="591D9BC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36C1453">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4549D94">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D2E000B">
            <w:pPr>
              <w:rPr>
                <w:rFonts w:hint="eastAsia" w:ascii="仿宋_GB2312" w:hAnsi="等线" w:eastAsia="仿宋_GB2312"/>
                <w:color w:val="000000"/>
              </w:rPr>
            </w:pPr>
            <w:r>
              <w:rPr>
                <w:rFonts w:hint="eastAsia" w:ascii="仿宋_GB2312" w:hAnsi="等线" w:eastAsia="仿宋_GB2312"/>
                <w:color w:val="000000"/>
              </w:rPr>
              <w:t xml:space="preserve">4.3.5 </w:t>
            </w:r>
            <w:r>
              <w:rPr>
                <w:rFonts w:hint="eastAsia"/>
                <w:color w:val="000000"/>
              </w:rPr>
              <w:t>能够通过各类智能投顾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）向客户提供财富传承规划和资产配置建议书。</w:t>
            </w:r>
          </w:p>
        </w:tc>
        <w:tc>
          <w:tcPr>
            <w:tcW w:w="0" w:type="auto"/>
            <w:vMerge w:val="continue"/>
            <w:tcBorders>
              <w:top w:val="nil"/>
              <w:left w:val="single" w:color="auto" w:sz="4" w:space="0"/>
              <w:bottom w:val="single" w:color="auto" w:sz="4" w:space="0"/>
              <w:right w:val="single" w:color="auto" w:sz="4" w:space="0"/>
            </w:tcBorders>
            <w:vAlign w:val="center"/>
          </w:tcPr>
          <w:p w14:paraId="68C4988F">
            <w:pPr>
              <w:rPr>
                <w:rFonts w:ascii="等线" w:hAnsi="等线" w:eastAsia="等线"/>
                <w:color w:val="000000"/>
                <w:sz w:val="22"/>
              </w:rPr>
            </w:pPr>
          </w:p>
        </w:tc>
      </w:tr>
    </w:tbl>
    <w:p w14:paraId="2ABD60D9">
      <w:pPr>
        <w:snapToGrid w:val="0"/>
        <w:spacing w:line="600" w:lineRule="exact"/>
        <w:jc w:val="center"/>
        <w:rPr>
          <w:rFonts w:hint="eastAsia" w:ascii="黑体" w:hAnsi="黑体" w:eastAsia="黑体"/>
        </w:rPr>
      </w:pPr>
    </w:p>
    <w:p w14:paraId="3E392B31">
      <w:pPr>
        <w:snapToGrid w:val="0"/>
        <w:spacing w:line="600" w:lineRule="exact"/>
        <w:jc w:val="center"/>
        <w:rPr>
          <w:rFonts w:hint="eastAsia"/>
        </w:rPr>
      </w:pPr>
      <w:r>
        <w:rPr>
          <w:rFonts w:hint="eastAsia" w:ascii="黑体" w:hAnsi="黑体" w:eastAsia="黑体"/>
        </w:rPr>
        <w:t>表</w:t>
      </w:r>
      <w:r>
        <w:rPr>
          <w:rFonts w:ascii="黑体" w:hAnsi="黑体" w:eastAsia="黑体"/>
        </w:rPr>
        <w:t>3</w:t>
      </w:r>
      <w:r>
        <w:rPr>
          <w:rFonts w:hint="eastAsia" w:ascii="黑体" w:hAnsi="黑体" w:eastAsia="黑体"/>
        </w:rPr>
        <w:t xml:space="preserve"> 智能投顾职业能力要求（高级）</w:t>
      </w:r>
    </w:p>
    <w:tbl>
      <w:tblPr>
        <w:tblStyle w:val="9"/>
        <w:tblW w:w="0" w:type="auto"/>
        <w:tblInd w:w="0" w:type="dxa"/>
        <w:tblLayout w:type="autofit"/>
        <w:tblCellMar>
          <w:top w:w="0" w:type="dxa"/>
          <w:left w:w="108" w:type="dxa"/>
          <w:bottom w:w="0" w:type="dxa"/>
          <w:right w:w="108" w:type="dxa"/>
        </w:tblCellMar>
      </w:tblPr>
      <w:tblGrid>
        <w:gridCol w:w="841"/>
        <w:gridCol w:w="1225"/>
        <w:gridCol w:w="3149"/>
        <w:gridCol w:w="3307"/>
      </w:tblGrid>
      <w:tr w14:paraId="3051E5A5">
        <w:tblPrEx>
          <w:tblCellMar>
            <w:top w:w="0" w:type="dxa"/>
            <w:left w:w="108" w:type="dxa"/>
            <w:bottom w:w="0" w:type="dxa"/>
            <w:right w:w="108" w:type="dxa"/>
          </w:tblCellMar>
        </w:tblPrEx>
        <w:trPr>
          <w:trHeight w:val="54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07B769B">
            <w:pPr>
              <w:jc w:val="center"/>
              <w:rPr>
                <w:rFonts w:ascii="黑体" w:hAnsi="黑体" w:eastAsia="黑体"/>
                <w:color w:val="000000"/>
              </w:rPr>
            </w:pPr>
            <w:r>
              <w:rPr>
                <w:rFonts w:hint="eastAsia" w:ascii="黑体" w:hAnsi="黑体" w:eastAsia="黑体"/>
                <w:color w:val="000000"/>
              </w:rPr>
              <w:t>工作领域</w:t>
            </w:r>
          </w:p>
        </w:tc>
        <w:tc>
          <w:tcPr>
            <w:tcW w:w="0" w:type="auto"/>
            <w:tcBorders>
              <w:top w:val="single" w:color="auto" w:sz="4" w:space="0"/>
              <w:left w:val="nil"/>
              <w:bottom w:val="single" w:color="auto" w:sz="4" w:space="0"/>
              <w:right w:val="single" w:color="auto" w:sz="4" w:space="0"/>
            </w:tcBorders>
            <w:shd w:val="clear" w:color="auto" w:fill="auto"/>
            <w:vAlign w:val="center"/>
          </w:tcPr>
          <w:p w14:paraId="7B82155C">
            <w:pPr>
              <w:jc w:val="center"/>
              <w:rPr>
                <w:rFonts w:hint="eastAsia" w:ascii="黑体" w:hAnsi="黑体" w:eastAsia="黑体"/>
                <w:color w:val="000000"/>
              </w:rPr>
            </w:pPr>
            <w:r>
              <w:rPr>
                <w:rFonts w:hint="eastAsia" w:ascii="黑体" w:hAnsi="黑体" w:eastAsia="黑体"/>
                <w:color w:val="000000"/>
              </w:rPr>
              <w:t>工作任务</w:t>
            </w:r>
          </w:p>
        </w:tc>
        <w:tc>
          <w:tcPr>
            <w:tcW w:w="0" w:type="auto"/>
            <w:tcBorders>
              <w:top w:val="single" w:color="auto" w:sz="4" w:space="0"/>
              <w:left w:val="nil"/>
              <w:bottom w:val="single" w:color="auto" w:sz="4" w:space="0"/>
              <w:right w:val="single" w:color="auto" w:sz="4" w:space="0"/>
            </w:tcBorders>
            <w:shd w:val="clear" w:color="auto" w:fill="auto"/>
            <w:vAlign w:val="center"/>
          </w:tcPr>
          <w:p w14:paraId="487A70B1">
            <w:pPr>
              <w:jc w:val="center"/>
              <w:rPr>
                <w:rFonts w:hint="eastAsia" w:ascii="黑体" w:hAnsi="黑体" w:eastAsia="黑体"/>
                <w:color w:val="000000"/>
              </w:rPr>
            </w:pPr>
            <w:r>
              <w:rPr>
                <w:rFonts w:hint="eastAsia" w:ascii="黑体" w:hAnsi="黑体" w:eastAsia="黑体"/>
                <w:color w:val="000000"/>
              </w:rPr>
              <w:t>职业能力要求</w:t>
            </w:r>
          </w:p>
        </w:tc>
        <w:tc>
          <w:tcPr>
            <w:tcW w:w="0" w:type="auto"/>
            <w:tcBorders>
              <w:top w:val="single" w:color="auto" w:sz="4" w:space="0"/>
              <w:left w:val="nil"/>
              <w:bottom w:val="single" w:color="auto" w:sz="4" w:space="0"/>
              <w:right w:val="single" w:color="auto" w:sz="4" w:space="0"/>
            </w:tcBorders>
            <w:shd w:val="clear" w:color="auto" w:fill="auto"/>
            <w:vAlign w:val="center"/>
          </w:tcPr>
          <w:p w14:paraId="1C422353">
            <w:pPr>
              <w:jc w:val="center"/>
              <w:rPr>
                <w:rFonts w:hint="eastAsia" w:ascii="黑体" w:hAnsi="黑体" w:eastAsia="黑体"/>
                <w:color w:val="000000"/>
              </w:rPr>
            </w:pPr>
            <w:r>
              <w:rPr>
                <w:rFonts w:hint="eastAsia" w:ascii="黑体" w:hAnsi="黑体" w:eastAsia="黑体"/>
                <w:color w:val="000000"/>
              </w:rPr>
              <w:t>相关知识要求</w:t>
            </w:r>
          </w:p>
        </w:tc>
      </w:tr>
      <w:tr w14:paraId="42D8034D">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0E3B126">
            <w:pPr>
              <w:rPr>
                <w:rFonts w:hint="eastAsia" w:ascii="仿宋_GB2312" w:hAnsi="等线" w:eastAsia="仿宋_GB2312"/>
                <w:color w:val="000000"/>
              </w:rPr>
            </w:pPr>
            <w:r>
              <w:rPr>
                <w:rFonts w:hint="eastAsia" w:ascii="仿宋_GB2312" w:hAnsi="等线" w:eastAsia="仿宋_GB2312"/>
                <w:color w:val="000000"/>
              </w:rPr>
              <w:t>1.</w:t>
            </w:r>
            <w:r>
              <w:rPr>
                <w:rFonts w:hint="eastAsia"/>
                <w:color w:val="000000"/>
              </w:rPr>
              <w:t>智能投顾产品规划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A0FE036">
            <w:pPr>
              <w:rPr>
                <w:rFonts w:hint="eastAsia" w:ascii="仿宋_GB2312" w:hAnsi="等线" w:eastAsia="仿宋_GB2312"/>
                <w:color w:val="000000"/>
              </w:rPr>
            </w:pPr>
            <w:r>
              <w:rPr>
                <w:rFonts w:hint="eastAsia" w:ascii="仿宋_GB2312" w:hAnsi="等线" w:eastAsia="仿宋_GB2312"/>
                <w:color w:val="000000"/>
              </w:rPr>
              <w:t>1.1</w:t>
            </w:r>
            <w:r>
              <w:rPr>
                <w:rFonts w:hint="eastAsia"/>
                <w:color w:val="000000"/>
              </w:rPr>
              <w:t>智能投顾高级投研</w:t>
            </w:r>
          </w:p>
        </w:tc>
        <w:tc>
          <w:tcPr>
            <w:tcW w:w="0" w:type="auto"/>
            <w:tcBorders>
              <w:top w:val="nil"/>
              <w:left w:val="nil"/>
              <w:bottom w:val="single" w:color="auto" w:sz="4" w:space="0"/>
              <w:right w:val="single" w:color="auto" w:sz="4" w:space="0"/>
            </w:tcBorders>
            <w:shd w:val="clear" w:color="auto" w:fill="auto"/>
            <w:vAlign w:val="center"/>
          </w:tcPr>
          <w:p w14:paraId="5E19568D">
            <w:pPr>
              <w:rPr>
                <w:rFonts w:hint="eastAsia" w:ascii="仿宋_GB2312" w:hAnsi="等线" w:eastAsia="仿宋_GB2312"/>
                <w:color w:val="000000"/>
              </w:rPr>
            </w:pPr>
            <w:r>
              <w:rPr>
                <w:rFonts w:hint="eastAsia" w:ascii="仿宋_GB2312" w:hAnsi="等线" w:eastAsia="仿宋_GB2312"/>
                <w:color w:val="000000"/>
              </w:rPr>
              <w:t xml:space="preserve">1.1.1 </w:t>
            </w:r>
            <w:r>
              <w:rPr>
                <w:rFonts w:hint="eastAsia"/>
                <w:color w:val="000000"/>
              </w:rPr>
              <w:t>利用智能投顾工具进行多渠道、多领域产品评分及评价。</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D1A3E63">
            <w:pPr>
              <w:jc w:val="center"/>
              <w:rPr>
                <w:rFonts w:hint="eastAsia" w:ascii="等线" w:hAnsi="等线" w:eastAsia="等线"/>
                <w:color w:val="000000"/>
                <w:sz w:val="22"/>
              </w:rPr>
            </w:pPr>
            <w:r>
              <w:rPr>
                <w:rFonts w:hint="eastAsia" w:ascii="等线" w:hAnsi="等线" w:eastAsia="等线"/>
                <w:color w:val="000000"/>
                <w:sz w:val="22"/>
              </w:rPr>
              <w:t>智能投顾应用、金融产品评价，及多渠道获客策略、六步螺旋工作法、精准产品筛选技术、智能投顾辅助理财规划知识要求。</w:t>
            </w:r>
          </w:p>
        </w:tc>
      </w:tr>
      <w:tr w14:paraId="38174FA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40388A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69F174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04E1008">
            <w:pPr>
              <w:rPr>
                <w:rFonts w:hint="eastAsia" w:ascii="仿宋_GB2312" w:hAnsi="等线" w:eastAsia="仿宋_GB2312"/>
                <w:color w:val="000000"/>
              </w:rPr>
            </w:pPr>
            <w:r>
              <w:rPr>
                <w:rFonts w:hint="eastAsia" w:ascii="仿宋_GB2312" w:hAnsi="等线" w:eastAsia="仿宋_GB2312"/>
                <w:color w:val="000000"/>
              </w:rPr>
              <w:t xml:space="preserve">1.1.2 </w:t>
            </w:r>
            <w:r>
              <w:rPr>
                <w:rFonts w:hint="eastAsia"/>
                <w:color w:val="000000"/>
              </w:rPr>
              <w:t>能够利用六步螺旋存量客户提升等工作法进行获客并与智能投顾工具相结合。</w:t>
            </w:r>
          </w:p>
        </w:tc>
        <w:tc>
          <w:tcPr>
            <w:tcW w:w="0" w:type="auto"/>
            <w:vMerge w:val="continue"/>
            <w:tcBorders>
              <w:top w:val="nil"/>
              <w:left w:val="single" w:color="auto" w:sz="4" w:space="0"/>
              <w:bottom w:val="single" w:color="auto" w:sz="4" w:space="0"/>
              <w:right w:val="single" w:color="auto" w:sz="4" w:space="0"/>
            </w:tcBorders>
            <w:vAlign w:val="center"/>
          </w:tcPr>
          <w:p w14:paraId="2DC9F70C">
            <w:pPr>
              <w:rPr>
                <w:rFonts w:ascii="等线" w:hAnsi="等线" w:eastAsia="等线"/>
                <w:color w:val="000000"/>
                <w:sz w:val="22"/>
              </w:rPr>
            </w:pPr>
          </w:p>
        </w:tc>
      </w:tr>
      <w:tr w14:paraId="3AD9A70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158117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AA2BA80">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FD9AA3A">
            <w:pPr>
              <w:rPr>
                <w:rFonts w:hint="eastAsia" w:ascii="仿宋_GB2312" w:hAnsi="等线" w:eastAsia="仿宋_GB2312"/>
                <w:color w:val="000000"/>
              </w:rPr>
            </w:pPr>
            <w:r>
              <w:rPr>
                <w:rFonts w:hint="eastAsia" w:ascii="仿宋_GB2312" w:hAnsi="等线" w:eastAsia="仿宋_GB2312"/>
                <w:color w:val="000000"/>
              </w:rPr>
              <w:t xml:space="preserve">1.1.3 </w:t>
            </w:r>
            <w:r>
              <w:rPr>
                <w:rFonts w:hint="eastAsia"/>
                <w:color w:val="000000"/>
              </w:rPr>
              <w:t>能够通过智能投顾工具的相关互联网工具实现单项产品的精准化筛选。</w:t>
            </w:r>
          </w:p>
        </w:tc>
        <w:tc>
          <w:tcPr>
            <w:tcW w:w="0" w:type="auto"/>
            <w:vMerge w:val="continue"/>
            <w:tcBorders>
              <w:top w:val="nil"/>
              <w:left w:val="single" w:color="auto" w:sz="4" w:space="0"/>
              <w:bottom w:val="single" w:color="auto" w:sz="4" w:space="0"/>
              <w:right w:val="single" w:color="auto" w:sz="4" w:space="0"/>
            </w:tcBorders>
            <w:vAlign w:val="center"/>
          </w:tcPr>
          <w:p w14:paraId="4C6431DC">
            <w:pPr>
              <w:rPr>
                <w:rFonts w:ascii="等线" w:hAnsi="等线" w:eastAsia="等线"/>
                <w:color w:val="000000"/>
                <w:sz w:val="22"/>
              </w:rPr>
            </w:pPr>
          </w:p>
        </w:tc>
      </w:tr>
      <w:tr w14:paraId="30E5E33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AE8A24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9A6AAF3">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9F923B6">
            <w:pPr>
              <w:rPr>
                <w:rFonts w:hint="eastAsia" w:ascii="仿宋_GB2312" w:hAnsi="等线" w:eastAsia="仿宋_GB2312"/>
                <w:color w:val="000000"/>
              </w:rPr>
            </w:pPr>
            <w:r>
              <w:rPr>
                <w:rFonts w:hint="eastAsia" w:ascii="仿宋_GB2312" w:hAnsi="等线" w:eastAsia="仿宋_GB2312"/>
                <w:color w:val="000000"/>
              </w:rPr>
              <w:t xml:space="preserve">1.1.4 </w:t>
            </w:r>
            <w:r>
              <w:rPr>
                <w:rFonts w:hint="eastAsia"/>
                <w:color w:val="000000"/>
              </w:rPr>
              <w:t>能够通过智能投顾指导客户制定理财规划。</w:t>
            </w:r>
          </w:p>
        </w:tc>
        <w:tc>
          <w:tcPr>
            <w:tcW w:w="0" w:type="auto"/>
            <w:vMerge w:val="continue"/>
            <w:tcBorders>
              <w:top w:val="nil"/>
              <w:left w:val="single" w:color="auto" w:sz="4" w:space="0"/>
              <w:bottom w:val="single" w:color="auto" w:sz="4" w:space="0"/>
              <w:right w:val="single" w:color="auto" w:sz="4" w:space="0"/>
            </w:tcBorders>
            <w:vAlign w:val="center"/>
          </w:tcPr>
          <w:p w14:paraId="15DBEB7D">
            <w:pPr>
              <w:rPr>
                <w:rFonts w:ascii="等线" w:hAnsi="等线" w:eastAsia="等线"/>
                <w:color w:val="000000"/>
                <w:sz w:val="22"/>
              </w:rPr>
            </w:pPr>
          </w:p>
        </w:tc>
      </w:tr>
      <w:tr w14:paraId="6EFD944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E4B8A46">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304ADF2">
            <w:pPr>
              <w:rPr>
                <w:rFonts w:hint="eastAsia" w:ascii="仿宋_GB2312" w:hAnsi="等线" w:eastAsia="仿宋_GB2312"/>
                <w:color w:val="000000"/>
              </w:rPr>
            </w:pPr>
            <w:r>
              <w:rPr>
                <w:rFonts w:hint="eastAsia" w:ascii="仿宋_GB2312" w:hAnsi="等线" w:eastAsia="仿宋_GB2312"/>
                <w:color w:val="000000"/>
              </w:rPr>
              <w:t xml:space="preserve">1.2 </w:t>
            </w:r>
            <w:r>
              <w:rPr>
                <w:rFonts w:hint="eastAsia"/>
                <w:color w:val="000000"/>
              </w:rPr>
              <w:t>智能投研工具应用</w:t>
            </w:r>
          </w:p>
        </w:tc>
        <w:tc>
          <w:tcPr>
            <w:tcW w:w="0" w:type="auto"/>
            <w:tcBorders>
              <w:top w:val="nil"/>
              <w:left w:val="nil"/>
              <w:bottom w:val="single" w:color="auto" w:sz="4" w:space="0"/>
              <w:right w:val="single" w:color="auto" w:sz="4" w:space="0"/>
            </w:tcBorders>
            <w:shd w:val="clear" w:color="auto" w:fill="auto"/>
            <w:vAlign w:val="center"/>
          </w:tcPr>
          <w:p w14:paraId="5591E2F9">
            <w:pPr>
              <w:rPr>
                <w:rFonts w:hint="eastAsia" w:ascii="仿宋_GB2312" w:hAnsi="等线" w:eastAsia="仿宋_GB2312"/>
                <w:color w:val="000000"/>
              </w:rPr>
            </w:pPr>
            <w:r>
              <w:rPr>
                <w:rFonts w:hint="eastAsia" w:ascii="仿宋_GB2312" w:hAnsi="等线" w:eastAsia="仿宋_GB2312"/>
                <w:color w:val="000000"/>
              </w:rPr>
              <w:t xml:space="preserve">1.2.1 </w:t>
            </w:r>
            <w:r>
              <w:rPr>
                <w:rFonts w:hint="eastAsia"/>
                <w:color w:val="000000"/>
              </w:rPr>
              <w:t>利用智能投顾工具进行业务流程设计与优化。</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8BD3DED">
            <w:pPr>
              <w:jc w:val="center"/>
              <w:rPr>
                <w:rFonts w:hint="eastAsia" w:ascii="等线" w:hAnsi="等线" w:eastAsia="等线"/>
                <w:color w:val="000000"/>
                <w:sz w:val="22"/>
              </w:rPr>
            </w:pPr>
            <w:r>
              <w:rPr>
                <w:rFonts w:hint="eastAsia" w:ascii="等线" w:hAnsi="等线" w:eastAsia="等线"/>
                <w:color w:val="000000"/>
                <w:sz w:val="22"/>
              </w:rPr>
              <w:t>智能投顾与业务流程、创新投资理论，及行业趋势分析、价值评估方法、资产配置优化、智能投顾工具研发与应用知识要求。</w:t>
            </w:r>
          </w:p>
        </w:tc>
      </w:tr>
      <w:tr w14:paraId="4B64A68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12E1FD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1884FDA">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56C2261">
            <w:pPr>
              <w:rPr>
                <w:rFonts w:hint="eastAsia" w:ascii="仿宋_GB2312" w:hAnsi="等线" w:eastAsia="仿宋_GB2312"/>
                <w:color w:val="000000"/>
              </w:rPr>
            </w:pPr>
            <w:r>
              <w:rPr>
                <w:rFonts w:hint="eastAsia" w:ascii="仿宋_GB2312" w:hAnsi="等线" w:eastAsia="仿宋_GB2312"/>
                <w:color w:val="000000"/>
              </w:rPr>
              <w:t xml:space="preserve">1.2.2 </w:t>
            </w:r>
            <w:r>
              <w:rPr>
                <w:rFonts w:hint="eastAsia"/>
                <w:color w:val="000000"/>
              </w:rPr>
              <w:t>利用智能投顾工具进行创新投资理论研发。</w:t>
            </w:r>
          </w:p>
        </w:tc>
        <w:tc>
          <w:tcPr>
            <w:tcW w:w="0" w:type="auto"/>
            <w:vMerge w:val="continue"/>
            <w:tcBorders>
              <w:top w:val="nil"/>
              <w:left w:val="single" w:color="auto" w:sz="4" w:space="0"/>
              <w:bottom w:val="single" w:color="auto" w:sz="4" w:space="0"/>
              <w:right w:val="single" w:color="auto" w:sz="4" w:space="0"/>
            </w:tcBorders>
            <w:vAlign w:val="center"/>
          </w:tcPr>
          <w:p w14:paraId="306FC851">
            <w:pPr>
              <w:rPr>
                <w:rFonts w:ascii="等线" w:hAnsi="等线" w:eastAsia="等线"/>
                <w:color w:val="000000"/>
                <w:sz w:val="22"/>
              </w:rPr>
            </w:pPr>
          </w:p>
        </w:tc>
      </w:tr>
      <w:tr w14:paraId="56762A2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F55D12D">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A468B68">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F5EE987">
            <w:pPr>
              <w:rPr>
                <w:rFonts w:hint="eastAsia" w:ascii="仿宋_GB2312" w:hAnsi="等线" w:eastAsia="仿宋_GB2312"/>
                <w:color w:val="000000"/>
              </w:rPr>
            </w:pPr>
            <w:r>
              <w:rPr>
                <w:rFonts w:hint="eastAsia" w:ascii="仿宋_GB2312" w:hAnsi="等线" w:eastAsia="仿宋_GB2312"/>
                <w:color w:val="000000"/>
              </w:rPr>
              <w:t xml:space="preserve">1.2.3 </w:t>
            </w:r>
            <w:r>
              <w:rPr>
                <w:rFonts w:hint="eastAsia"/>
                <w:color w:val="000000"/>
              </w:rPr>
              <w:t>利用智能投顾工具进行多行行业趋势判断和价值分析。</w:t>
            </w:r>
          </w:p>
        </w:tc>
        <w:tc>
          <w:tcPr>
            <w:tcW w:w="0" w:type="auto"/>
            <w:vMerge w:val="continue"/>
            <w:tcBorders>
              <w:top w:val="nil"/>
              <w:left w:val="single" w:color="auto" w:sz="4" w:space="0"/>
              <w:bottom w:val="single" w:color="auto" w:sz="4" w:space="0"/>
              <w:right w:val="single" w:color="auto" w:sz="4" w:space="0"/>
            </w:tcBorders>
            <w:vAlign w:val="center"/>
          </w:tcPr>
          <w:p w14:paraId="4731A43A">
            <w:pPr>
              <w:rPr>
                <w:rFonts w:ascii="等线" w:hAnsi="等线" w:eastAsia="等线"/>
                <w:color w:val="000000"/>
                <w:sz w:val="22"/>
              </w:rPr>
            </w:pPr>
          </w:p>
        </w:tc>
      </w:tr>
      <w:tr w14:paraId="3EB2E2A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E3BCEE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77DE26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363DC91">
            <w:pPr>
              <w:rPr>
                <w:rFonts w:hint="eastAsia" w:ascii="仿宋_GB2312" w:hAnsi="等线" w:eastAsia="仿宋_GB2312"/>
                <w:color w:val="000000"/>
              </w:rPr>
            </w:pPr>
            <w:r>
              <w:rPr>
                <w:rFonts w:hint="eastAsia" w:ascii="仿宋_GB2312" w:hAnsi="等线" w:eastAsia="仿宋_GB2312"/>
                <w:color w:val="000000"/>
              </w:rPr>
              <w:t xml:space="preserve">1.2.4 </w:t>
            </w:r>
            <w:r>
              <w:rPr>
                <w:rFonts w:hint="eastAsia"/>
                <w:color w:val="000000"/>
              </w:rPr>
              <w:t>利用智能投顾工具优化已制定的资产配置方案。</w:t>
            </w:r>
          </w:p>
        </w:tc>
        <w:tc>
          <w:tcPr>
            <w:tcW w:w="0" w:type="auto"/>
            <w:vMerge w:val="continue"/>
            <w:tcBorders>
              <w:top w:val="nil"/>
              <w:left w:val="single" w:color="auto" w:sz="4" w:space="0"/>
              <w:bottom w:val="single" w:color="auto" w:sz="4" w:space="0"/>
              <w:right w:val="single" w:color="auto" w:sz="4" w:space="0"/>
            </w:tcBorders>
            <w:vAlign w:val="center"/>
          </w:tcPr>
          <w:p w14:paraId="49117B45">
            <w:pPr>
              <w:rPr>
                <w:rFonts w:ascii="等线" w:hAnsi="等线" w:eastAsia="等线"/>
                <w:color w:val="000000"/>
                <w:sz w:val="22"/>
              </w:rPr>
            </w:pPr>
          </w:p>
        </w:tc>
      </w:tr>
      <w:tr w14:paraId="30681E1B">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FAEF42A">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5D9EFFD">
            <w:pPr>
              <w:rPr>
                <w:rFonts w:hint="eastAsia" w:ascii="仿宋_GB2312" w:hAnsi="等线" w:eastAsia="仿宋_GB2312"/>
                <w:color w:val="000000"/>
              </w:rPr>
            </w:pPr>
            <w:r>
              <w:rPr>
                <w:rFonts w:hint="eastAsia" w:ascii="仿宋_GB2312" w:hAnsi="等线" w:eastAsia="仿宋_GB2312"/>
                <w:color w:val="000000"/>
              </w:rPr>
              <w:t xml:space="preserve">1.3 </w:t>
            </w:r>
            <w:r>
              <w:rPr>
                <w:rFonts w:hint="eastAsia"/>
                <w:color w:val="000000"/>
              </w:rPr>
              <w:t>智能风控和</w:t>
            </w:r>
            <w:r>
              <w:rPr>
                <w:rFonts w:hint="eastAsia" w:ascii="仿宋_GB2312" w:hAnsi="等线" w:eastAsia="仿宋_GB2312"/>
                <w:color w:val="000000"/>
              </w:rPr>
              <w:t>AI</w:t>
            </w:r>
            <w:r>
              <w:rPr>
                <w:rFonts w:hint="eastAsia"/>
                <w:color w:val="000000"/>
              </w:rPr>
              <w:t>工具应用</w:t>
            </w:r>
          </w:p>
        </w:tc>
        <w:tc>
          <w:tcPr>
            <w:tcW w:w="0" w:type="auto"/>
            <w:tcBorders>
              <w:top w:val="nil"/>
              <w:left w:val="nil"/>
              <w:bottom w:val="single" w:color="auto" w:sz="4" w:space="0"/>
              <w:right w:val="single" w:color="auto" w:sz="4" w:space="0"/>
            </w:tcBorders>
            <w:shd w:val="clear" w:color="auto" w:fill="auto"/>
            <w:vAlign w:val="center"/>
          </w:tcPr>
          <w:p w14:paraId="34D872C9">
            <w:pPr>
              <w:rPr>
                <w:rFonts w:hint="eastAsia" w:ascii="仿宋_GB2312" w:hAnsi="等线" w:eastAsia="仿宋_GB2312"/>
                <w:color w:val="000000"/>
              </w:rPr>
            </w:pPr>
            <w:r>
              <w:rPr>
                <w:rFonts w:hint="eastAsia" w:ascii="仿宋_GB2312" w:hAnsi="等线" w:eastAsia="仿宋_GB2312"/>
                <w:color w:val="000000"/>
              </w:rPr>
              <w:t xml:space="preserve">1.3.1 </w:t>
            </w:r>
            <w:r>
              <w:rPr>
                <w:rFonts w:hint="eastAsia"/>
                <w:color w:val="000000"/>
              </w:rPr>
              <w:t>熟练使用智能风控系统和</w:t>
            </w:r>
            <w:r>
              <w:rPr>
                <w:rFonts w:hint="eastAsia" w:ascii="仿宋_GB2312" w:hAnsi="等线" w:eastAsia="仿宋_GB2312"/>
                <w:color w:val="000000"/>
              </w:rPr>
              <w:t>AI</w:t>
            </w:r>
            <w:r>
              <w:rPr>
                <w:rFonts w:hint="eastAsia"/>
                <w:color w:val="000000"/>
              </w:rPr>
              <w:t>工具。</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EB8537F">
            <w:pPr>
              <w:jc w:val="center"/>
              <w:rPr>
                <w:rFonts w:hint="eastAsia" w:ascii="等线" w:hAnsi="等线" w:eastAsia="等线"/>
                <w:color w:val="000000"/>
                <w:sz w:val="22"/>
              </w:rPr>
            </w:pPr>
            <w:r>
              <w:rPr>
                <w:rFonts w:hint="eastAsia" w:ascii="等线" w:hAnsi="等线" w:eastAsia="等线"/>
                <w:color w:val="000000"/>
                <w:sz w:val="22"/>
              </w:rPr>
              <w:t>智能风控技术、AI风险评估，及客户风险偏好评估、市场系统风险量化、多品种投资策略、风险控制计划制定、智能风控系统应用知识要求。</w:t>
            </w:r>
          </w:p>
        </w:tc>
      </w:tr>
      <w:tr w14:paraId="6F76676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557CC1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43DB034">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D9D7B8E">
            <w:pPr>
              <w:rPr>
                <w:rFonts w:hint="eastAsia" w:ascii="仿宋_GB2312" w:hAnsi="等线" w:eastAsia="仿宋_GB2312"/>
                <w:color w:val="000000"/>
              </w:rPr>
            </w:pPr>
            <w:r>
              <w:rPr>
                <w:rFonts w:hint="eastAsia" w:ascii="仿宋_GB2312" w:hAnsi="等线" w:eastAsia="仿宋_GB2312"/>
                <w:color w:val="000000"/>
              </w:rPr>
              <w:t xml:space="preserve">1.3.2 </w:t>
            </w:r>
            <w:r>
              <w:rPr>
                <w:rFonts w:hint="eastAsia"/>
                <w:color w:val="000000"/>
              </w:rPr>
              <w:t>利用智能风控系统和</w:t>
            </w:r>
            <w:r>
              <w:rPr>
                <w:rFonts w:hint="eastAsia" w:ascii="仿宋_GB2312" w:hAnsi="等线" w:eastAsia="仿宋_GB2312"/>
                <w:color w:val="000000"/>
              </w:rPr>
              <w:t>AI</w:t>
            </w:r>
            <w:r>
              <w:rPr>
                <w:rFonts w:hint="eastAsia"/>
                <w:color w:val="000000"/>
              </w:rPr>
              <w:t>工具评估客户风险偏好以及风险承受能力。</w:t>
            </w:r>
          </w:p>
        </w:tc>
        <w:tc>
          <w:tcPr>
            <w:tcW w:w="0" w:type="auto"/>
            <w:vMerge w:val="continue"/>
            <w:tcBorders>
              <w:top w:val="nil"/>
              <w:left w:val="single" w:color="auto" w:sz="4" w:space="0"/>
              <w:bottom w:val="single" w:color="auto" w:sz="4" w:space="0"/>
              <w:right w:val="single" w:color="auto" w:sz="4" w:space="0"/>
            </w:tcBorders>
            <w:vAlign w:val="center"/>
          </w:tcPr>
          <w:p w14:paraId="5D99C70F">
            <w:pPr>
              <w:rPr>
                <w:rFonts w:ascii="等线" w:hAnsi="等线" w:eastAsia="等线"/>
                <w:color w:val="000000"/>
                <w:sz w:val="22"/>
              </w:rPr>
            </w:pPr>
          </w:p>
        </w:tc>
      </w:tr>
      <w:tr w14:paraId="54B01F9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C6AF72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E974C63">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D5A2990">
            <w:pPr>
              <w:rPr>
                <w:rFonts w:hint="eastAsia" w:ascii="仿宋_GB2312" w:hAnsi="等线" w:eastAsia="仿宋_GB2312"/>
                <w:color w:val="000000"/>
              </w:rPr>
            </w:pPr>
            <w:r>
              <w:rPr>
                <w:rFonts w:hint="eastAsia" w:ascii="仿宋_GB2312" w:hAnsi="等线" w:eastAsia="仿宋_GB2312"/>
                <w:color w:val="000000"/>
              </w:rPr>
              <w:t xml:space="preserve">1.3.3 </w:t>
            </w:r>
            <w:r>
              <w:rPr>
                <w:rFonts w:hint="eastAsia"/>
                <w:color w:val="000000"/>
              </w:rPr>
              <w:t>利用智能风控系统和</w:t>
            </w:r>
            <w:r>
              <w:rPr>
                <w:rFonts w:hint="eastAsia" w:ascii="仿宋_GB2312" w:hAnsi="等线" w:eastAsia="仿宋_GB2312"/>
                <w:color w:val="000000"/>
              </w:rPr>
              <w:t>AI</w:t>
            </w:r>
            <w:r>
              <w:rPr>
                <w:rFonts w:hint="eastAsia"/>
                <w:color w:val="000000"/>
              </w:rPr>
              <w:t>工具进行市场系统风险评估和量化。</w:t>
            </w:r>
          </w:p>
        </w:tc>
        <w:tc>
          <w:tcPr>
            <w:tcW w:w="0" w:type="auto"/>
            <w:vMerge w:val="continue"/>
            <w:tcBorders>
              <w:top w:val="nil"/>
              <w:left w:val="single" w:color="auto" w:sz="4" w:space="0"/>
              <w:bottom w:val="single" w:color="auto" w:sz="4" w:space="0"/>
              <w:right w:val="single" w:color="auto" w:sz="4" w:space="0"/>
            </w:tcBorders>
            <w:vAlign w:val="center"/>
          </w:tcPr>
          <w:p w14:paraId="76F94A9B">
            <w:pPr>
              <w:rPr>
                <w:rFonts w:ascii="等线" w:hAnsi="等线" w:eastAsia="等线"/>
                <w:color w:val="000000"/>
                <w:sz w:val="22"/>
              </w:rPr>
            </w:pPr>
          </w:p>
        </w:tc>
      </w:tr>
      <w:tr w14:paraId="55C14572">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3B879F7">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72B9C3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F15FA79">
            <w:pPr>
              <w:rPr>
                <w:rFonts w:hint="eastAsia" w:ascii="仿宋_GB2312" w:hAnsi="等线" w:eastAsia="仿宋_GB2312"/>
                <w:color w:val="000000"/>
              </w:rPr>
            </w:pPr>
            <w:r>
              <w:rPr>
                <w:rFonts w:hint="eastAsia" w:ascii="仿宋_GB2312" w:hAnsi="等线" w:eastAsia="仿宋_GB2312"/>
                <w:color w:val="000000"/>
              </w:rPr>
              <w:t xml:space="preserve">1.3.4 </w:t>
            </w:r>
            <w:r>
              <w:rPr>
                <w:rFonts w:hint="eastAsia"/>
                <w:color w:val="000000"/>
              </w:rPr>
              <w:t>利用智能风控系统和</w:t>
            </w:r>
            <w:r>
              <w:rPr>
                <w:rFonts w:hint="eastAsia" w:ascii="仿宋_GB2312" w:hAnsi="等线" w:eastAsia="仿宋_GB2312"/>
                <w:color w:val="000000"/>
              </w:rPr>
              <w:t>AI</w:t>
            </w:r>
            <w:r>
              <w:rPr>
                <w:rFonts w:hint="eastAsia"/>
                <w:color w:val="000000"/>
              </w:rPr>
              <w:t>工具多品种投资。</w:t>
            </w:r>
          </w:p>
        </w:tc>
        <w:tc>
          <w:tcPr>
            <w:tcW w:w="0" w:type="auto"/>
            <w:vMerge w:val="continue"/>
            <w:tcBorders>
              <w:top w:val="nil"/>
              <w:left w:val="single" w:color="auto" w:sz="4" w:space="0"/>
              <w:bottom w:val="single" w:color="auto" w:sz="4" w:space="0"/>
              <w:right w:val="single" w:color="auto" w:sz="4" w:space="0"/>
            </w:tcBorders>
            <w:vAlign w:val="center"/>
          </w:tcPr>
          <w:p w14:paraId="4936C8C7">
            <w:pPr>
              <w:rPr>
                <w:rFonts w:ascii="等线" w:hAnsi="等线" w:eastAsia="等线"/>
                <w:color w:val="000000"/>
                <w:sz w:val="22"/>
              </w:rPr>
            </w:pPr>
          </w:p>
        </w:tc>
      </w:tr>
      <w:tr w14:paraId="0C3700B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292075E">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731A2F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6470898">
            <w:pPr>
              <w:rPr>
                <w:rFonts w:hint="eastAsia" w:ascii="仿宋_GB2312" w:hAnsi="等线" w:eastAsia="仿宋_GB2312"/>
                <w:color w:val="000000"/>
              </w:rPr>
            </w:pPr>
            <w:r>
              <w:rPr>
                <w:rFonts w:hint="eastAsia" w:ascii="仿宋_GB2312" w:hAnsi="等线" w:eastAsia="仿宋_GB2312"/>
                <w:color w:val="000000"/>
              </w:rPr>
              <w:t xml:space="preserve">1.3.5 </w:t>
            </w:r>
            <w:r>
              <w:rPr>
                <w:rFonts w:hint="eastAsia"/>
                <w:color w:val="000000"/>
              </w:rPr>
              <w:t>利用智能风控系统和</w:t>
            </w:r>
            <w:r>
              <w:rPr>
                <w:rFonts w:hint="eastAsia" w:ascii="仿宋_GB2312" w:hAnsi="等线" w:eastAsia="仿宋_GB2312"/>
                <w:color w:val="000000"/>
              </w:rPr>
              <w:t>AI</w:t>
            </w:r>
            <w:r>
              <w:rPr>
                <w:rFonts w:hint="eastAsia"/>
                <w:color w:val="000000"/>
              </w:rPr>
              <w:t>工具制定风险控制计划书。</w:t>
            </w:r>
          </w:p>
        </w:tc>
        <w:tc>
          <w:tcPr>
            <w:tcW w:w="0" w:type="auto"/>
            <w:vMerge w:val="continue"/>
            <w:tcBorders>
              <w:top w:val="nil"/>
              <w:left w:val="single" w:color="auto" w:sz="4" w:space="0"/>
              <w:bottom w:val="single" w:color="auto" w:sz="4" w:space="0"/>
              <w:right w:val="single" w:color="auto" w:sz="4" w:space="0"/>
            </w:tcBorders>
            <w:vAlign w:val="center"/>
          </w:tcPr>
          <w:p w14:paraId="1E21A801">
            <w:pPr>
              <w:rPr>
                <w:rFonts w:ascii="等线" w:hAnsi="等线" w:eastAsia="等线"/>
                <w:color w:val="000000"/>
                <w:sz w:val="22"/>
              </w:rPr>
            </w:pPr>
          </w:p>
        </w:tc>
      </w:tr>
      <w:tr w14:paraId="15BA9A94">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523117F">
            <w:pPr>
              <w:rPr>
                <w:rFonts w:hint="eastAsia" w:ascii="仿宋_GB2312" w:hAnsi="等线" w:eastAsia="仿宋_GB2312"/>
                <w:color w:val="000000"/>
              </w:rPr>
            </w:pPr>
            <w:r>
              <w:rPr>
                <w:rFonts w:hint="eastAsia" w:ascii="仿宋_GB2312" w:hAnsi="等线" w:eastAsia="仿宋_GB2312"/>
                <w:color w:val="000000"/>
              </w:rPr>
              <w:t>2.</w:t>
            </w:r>
            <w:r>
              <w:rPr>
                <w:rFonts w:hint="eastAsia"/>
                <w:color w:val="000000"/>
              </w:rPr>
              <w:t>证券投资规划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D6304A3">
            <w:pPr>
              <w:rPr>
                <w:rFonts w:hint="eastAsia" w:ascii="仿宋_GB2312" w:hAnsi="等线" w:eastAsia="仿宋_GB2312"/>
                <w:color w:val="000000"/>
              </w:rPr>
            </w:pPr>
            <w:r>
              <w:rPr>
                <w:rFonts w:hint="eastAsia" w:ascii="仿宋_GB2312" w:hAnsi="等线" w:eastAsia="仿宋_GB2312"/>
                <w:color w:val="000000"/>
              </w:rPr>
              <w:t xml:space="preserve">2.1 </w:t>
            </w:r>
            <w:r>
              <w:rPr>
                <w:rFonts w:hint="eastAsia"/>
                <w:color w:val="000000"/>
              </w:rPr>
              <w:t>基金及证券资产配置高级投研</w:t>
            </w:r>
          </w:p>
        </w:tc>
        <w:tc>
          <w:tcPr>
            <w:tcW w:w="0" w:type="auto"/>
            <w:tcBorders>
              <w:top w:val="nil"/>
              <w:left w:val="nil"/>
              <w:bottom w:val="single" w:color="auto" w:sz="4" w:space="0"/>
              <w:right w:val="single" w:color="auto" w:sz="4" w:space="0"/>
            </w:tcBorders>
            <w:shd w:val="clear" w:color="auto" w:fill="auto"/>
            <w:vAlign w:val="center"/>
          </w:tcPr>
          <w:p w14:paraId="7AB5B056">
            <w:pPr>
              <w:rPr>
                <w:rFonts w:hint="eastAsia" w:ascii="仿宋_GB2312" w:hAnsi="等线" w:eastAsia="仿宋_GB2312"/>
                <w:color w:val="000000"/>
              </w:rPr>
            </w:pPr>
            <w:r>
              <w:rPr>
                <w:rFonts w:hint="eastAsia" w:ascii="仿宋_GB2312" w:hAnsi="等线" w:eastAsia="仿宋_GB2312"/>
                <w:color w:val="000000"/>
              </w:rPr>
              <w:t xml:space="preserve">2.1.1 </w:t>
            </w:r>
            <w:r>
              <w:rPr>
                <w:rFonts w:hint="eastAsia"/>
                <w:color w:val="000000"/>
              </w:rPr>
              <w:t>熟练进行基金等证券产品诊断。</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73ACC41">
            <w:pPr>
              <w:jc w:val="center"/>
              <w:rPr>
                <w:rFonts w:hint="eastAsia" w:ascii="等线" w:hAnsi="等线" w:eastAsia="等线"/>
                <w:color w:val="000000"/>
                <w:sz w:val="22"/>
              </w:rPr>
            </w:pPr>
            <w:r>
              <w:rPr>
                <w:rFonts w:hint="eastAsia" w:ascii="等线" w:hAnsi="等线" w:eastAsia="等线"/>
                <w:color w:val="000000"/>
                <w:sz w:val="22"/>
              </w:rPr>
              <w:t>证券产品诊断、风险评估与管理，及客户风险承受能力评估、产品风险等级评定、智能投顾与资产配置、定制化服务策略知识要求。</w:t>
            </w:r>
          </w:p>
        </w:tc>
      </w:tr>
      <w:tr w14:paraId="1F36827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2C8E5C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022C340">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0A9598C">
            <w:pPr>
              <w:rPr>
                <w:rFonts w:hint="eastAsia" w:ascii="仿宋_GB2312" w:hAnsi="等线" w:eastAsia="仿宋_GB2312"/>
                <w:color w:val="000000"/>
              </w:rPr>
            </w:pPr>
            <w:r>
              <w:rPr>
                <w:rFonts w:hint="eastAsia" w:ascii="仿宋_GB2312" w:hAnsi="等线" w:eastAsia="仿宋_GB2312"/>
                <w:color w:val="000000"/>
              </w:rPr>
              <w:t xml:space="preserve">2.1.2 </w:t>
            </w:r>
            <w:r>
              <w:rPr>
                <w:rFonts w:hint="eastAsia"/>
                <w:color w:val="000000"/>
              </w:rPr>
              <w:t>能够在客户提供全面资产信息的情况下全面评估客户的风险承受能力，并为客户识别风险承受能力级别。</w:t>
            </w:r>
          </w:p>
        </w:tc>
        <w:tc>
          <w:tcPr>
            <w:tcW w:w="0" w:type="auto"/>
            <w:vMerge w:val="continue"/>
            <w:tcBorders>
              <w:top w:val="nil"/>
              <w:left w:val="single" w:color="auto" w:sz="4" w:space="0"/>
              <w:bottom w:val="single" w:color="auto" w:sz="4" w:space="0"/>
              <w:right w:val="single" w:color="auto" w:sz="4" w:space="0"/>
            </w:tcBorders>
            <w:vAlign w:val="center"/>
          </w:tcPr>
          <w:p w14:paraId="6BDD2DE4">
            <w:pPr>
              <w:rPr>
                <w:rFonts w:ascii="等线" w:hAnsi="等线" w:eastAsia="等线"/>
                <w:color w:val="000000"/>
                <w:sz w:val="22"/>
              </w:rPr>
            </w:pPr>
          </w:p>
        </w:tc>
      </w:tr>
      <w:tr w14:paraId="2E18421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9379B73">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5532F3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3464F47">
            <w:pPr>
              <w:rPr>
                <w:rFonts w:hint="eastAsia" w:ascii="仿宋_GB2312" w:hAnsi="等线" w:eastAsia="仿宋_GB2312"/>
                <w:color w:val="000000"/>
              </w:rPr>
            </w:pPr>
            <w:r>
              <w:rPr>
                <w:rFonts w:hint="eastAsia" w:ascii="仿宋_GB2312" w:hAnsi="等线" w:eastAsia="仿宋_GB2312"/>
                <w:color w:val="000000"/>
              </w:rPr>
              <w:t xml:space="preserve">2.1.3 </w:t>
            </w:r>
            <w:r>
              <w:rPr>
                <w:rFonts w:hint="eastAsia"/>
                <w:color w:val="000000"/>
              </w:rPr>
              <w:t>能够在提供基金及证券产品信息后，全面评估产品的风险等级。</w:t>
            </w:r>
          </w:p>
        </w:tc>
        <w:tc>
          <w:tcPr>
            <w:tcW w:w="0" w:type="auto"/>
            <w:vMerge w:val="continue"/>
            <w:tcBorders>
              <w:top w:val="nil"/>
              <w:left w:val="single" w:color="auto" w:sz="4" w:space="0"/>
              <w:bottom w:val="single" w:color="auto" w:sz="4" w:space="0"/>
              <w:right w:val="single" w:color="auto" w:sz="4" w:space="0"/>
            </w:tcBorders>
            <w:vAlign w:val="center"/>
          </w:tcPr>
          <w:p w14:paraId="4B5C46E3">
            <w:pPr>
              <w:rPr>
                <w:rFonts w:ascii="等线" w:hAnsi="等线" w:eastAsia="等线"/>
                <w:color w:val="000000"/>
                <w:sz w:val="22"/>
              </w:rPr>
            </w:pPr>
          </w:p>
        </w:tc>
      </w:tr>
      <w:tr w14:paraId="04DABFD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3AD2F9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607CAFC">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4030DA0">
            <w:pPr>
              <w:rPr>
                <w:rFonts w:hint="eastAsia" w:ascii="仿宋_GB2312" w:hAnsi="等线" w:eastAsia="仿宋_GB2312"/>
                <w:color w:val="000000"/>
              </w:rPr>
            </w:pPr>
            <w:r>
              <w:rPr>
                <w:rFonts w:hint="eastAsia" w:ascii="仿宋_GB2312" w:hAnsi="等线" w:eastAsia="仿宋_GB2312"/>
                <w:color w:val="000000"/>
              </w:rPr>
              <w:t xml:space="preserve">2.1.4 </w:t>
            </w:r>
            <w:r>
              <w:rPr>
                <w:rFonts w:hint="eastAsia"/>
                <w:color w:val="000000"/>
              </w:rPr>
              <w:t>利用智能投顾工具为客户提供专业定制化的证券资产配置服务。</w:t>
            </w:r>
          </w:p>
        </w:tc>
        <w:tc>
          <w:tcPr>
            <w:tcW w:w="0" w:type="auto"/>
            <w:vMerge w:val="continue"/>
            <w:tcBorders>
              <w:top w:val="nil"/>
              <w:left w:val="single" w:color="auto" w:sz="4" w:space="0"/>
              <w:bottom w:val="single" w:color="auto" w:sz="4" w:space="0"/>
              <w:right w:val="single" w:color="auto" w:sz="4" w:space="0"/>
            </w:tcBorders>
            <w:vAlign w:val="center"/>
          </w:tcPr>
          <w:p w14:paraId="042E7212">
            <w:pPr>
              <w:rPr>
                <w:rFonts w:ascii="等线" w:hAnsi="等线" w:eastAsia="等线"/>
                <w:color w:val="000000"/>
                <w:sz w:val="22"/>
              </w:rPr>
            </w:pPr>
          </w:p>
        </w:tc>
      </w:tr>
      <w:tr w14:paraId="5D2104E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6FE170F">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CC77BA1">
            <w:pPr>
              <w:rPr>
                <w:rFonts w:hint="eastAsia" w:ascii="仿宋_GB2312" w:hAnsi="等线" w:eastAsia="仿宋_GB2312"/>
                <w:color w:val="000000"/>
              </w:rPr>
            </w:pPr>
            <w:r>
              <w:rPr>
                <w:rFonts w:hint="eastAsia" w:ascii="仿宋_GB2312" w:hAnsi="等线" w:eastAsia="仿宋_GB2312"/>
                <w:color w:val="000000"/>
              </w:rPr>
              <w:t xml:space="preserve">2.2 </w:t>
            </w:r>
            <w:r>
              <w:rPr>
                <w:rFonts w:hint="eastAsia"/>
                <w:color w:val="000000"/>
              </w:rPr>
              <w:t>证券销售</w:t>
            </w:r>
          </w:p>
        </w:tc>
        <w:tc>
          <w:tcPr>
            <w:tcW w:w="0" w:type="auto"/>
            <w:tcBorders>
              <w:top w:val="nil"/>
              <w:left w:val="nil"/>
              <w:bottom w:val="single" w:color="auto" w:sz="4" w:space="0"/>
              <w:right w:val="single" w:color="auto" w:sz="4" w:space="0"/>
            </w:tcBorders>
            <w:shd w:val="clear" w:color="auto" w:fill="auto"/>
            <w:vAlign w:val="center"/>
          </w:tcPr>
          <w:p w14:paraId="3BDEBFE2">
            <w:pPr>
              <w:rPr>
                <w:rFonts w:hint="eastAsia" w:ascii="仿宋_GB2312" w:hAnsi="等线" w:eastAsia="仿宋_GB2312"/>
                <w:color w:val="000000"/>
              </w:rPr>
            </w:pPr>
            <w:r>
              <w:rPr>
                <w:rFonts w:hint="eastAsia" w:ascii="仿宋_GB2312" w:hAnsi="等线" w:eastAsia="仿宋_GB2312"/>
                <w:color w:val="000000"/>
              </w:rPr>
              <w:t xml:space="preserve">2.2.1 </w:t>
            </w:r>
            <w:r>
              <w:rPr>
                <w:rFonts w:hint="eastAsia"/>
                <w:color w:val="000000"/>
              </w:rPr>
              <w:t>利用基金螺旋闭环的应用训练提高获客能力。</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B740642">
            <w:pPr>
              <w:jc w:val="center"/>
              <w:rPr>
                <w:rFonts w:hint="eastAsia" w:ascii="等线" w:hAnsi="等线" w:eastAsia="等线"/>
                <w:color w:val="000000"/>
                <w:sz w:val="22"/>
              </w:rPr>
            </w:pPr>
            <w:r>
              <w:rPr>
                <w:rFonts w:hint="eastAsia" w:ascii="等线" w:hAnsi="等线" w:eastAsia="等线"/>
                <w:color w:val="000000"/>
                <w:sz w:val="22"/>
              </w:rPr>
              <w:t>基金螺旋闭环策略、智能投顾应用，及个性化配置建议制定、产品模型与风险等级匹配、基金定投策略设计、智能投顾实操知识要求。</w:t>
            </w:r>
          </w:p>
        </w:tc>
      </w:tr>
      <w:tr w14:paraId="6624FDE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6C6776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6E05216">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6B9E664">
            <w:pPr>
              <w:rPr>
                <w:rFonts w:hint="eastAsia" w:ascii="仿宋_GB2312" w:hAnsi="等线" w:eastAsia="仿宋_GB2312"/>
                <w:color w:val="000000"/>
              </w:rPr>
            </w:pPr>
            <w:r>
              <w:rPr>
                <w:rFonts w:hint="eastAsia" w:ascii="仿宋_GB2312" w:hAnsi="等线" w:eastAsia="仿宋_GB2312"/>
                <w:color w:val="000000"/>
              </w:rPr>
              <w:t xml:space="preserve">2.2.2 </w:t>
            </w:r>
            <w:r>
              <w:rPr>
                <w:rFonts w:hint="eastAsia"/>
                <w:color w:val="000000"/>
              </w:rPr>
              <w:t>利用智能投顾工具的配置模型结合客户风险承受能力制定个性化配置建议。</w:t>
            </w:r>
          </w:p>
        </w:tc>
        <w:tc>
          <w:tcPr>
            <w:tcW w:w="0" w:type="auto"/>
            <w:vMerge w:val="continue"/>
            <w:tcBorders>
              <w:top w:val="nil"/>
              <w:left w:val="single" w:color="auto" w:sz="4" w:space="0"/>
              <w:bottom w:val="single" w:color="auto" w:sz="4" w:space="0"/>
              <w:right w:val="single" w:color="auto" w:sz="4" w:space="0"/>
            </w:tcBorders>
            <w:vAlign w:val="center"/>
          </w:tcPr>
          <w:p w14:paraId="14C86059">
            <w:pPr>
              <w:rPr>
                <w:rFonts w:ascii="等线" w:hAnsi="等线" w:eastAsia="等线"/>
                <w:color w:val="000000"/>
                <w:sz w:val="22"/>
              </w:rPr>
            </w:pPr>
          </w:p>
        </w:tc>
      </w:tr>
      <w:tr w14:paraId="4DFC789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42CD936">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795CE1A">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9107AFD">
            <w:pPr>
              <w:rPr>
                <w:rFonts w:hint="eastAsia" w:ascii="仿宋_GB2312" w:hAnsi="等线" w:eastAsia="仿宋_GB2312"/>
                <w:color w:val="000000"/>
              </w:rPr>
            </w:pPr>
            <w:r>
              <w:rPr>
                <w:rFonts w:hint="eastAsia" w:ascii="仿宋_GB2312" w:hAnsi="等线" w:eastAsia="仿宋_GB2312"/>
                <w:color w:val="000000"/>
              </w:rPr>
              <w:t xml:space="preserve">2.2.3 </w:t>
            </w:r>
            <w:r>
              <w:rPr>
                <w:rFonts w:hint="eastAsia"/>
                <w:color w:val="000000"/>
              </w:rPr>
              <w:t>能够利用智能投顾工具的产品模型和其他已知风险等级的产品组件新的个性化配置建议。</w:t>
            </w:r>
          </w:p>
        </w:tc>
        <w:tc>
          <w:tcPr>
            <w:tcW w:w="0" w:type="auto"/>
            <w:vMerge w:val="continue"/>
            <w:tcBorders>
              <w:top w:val="nil"/>
              <w:left w:val="single" w:color="auto" w:sz="4" w:space="0"/>
              <w:bottom w:val="single" w:color="auto" w:sz="4" w:space="0"/>
              <w:right w:val="single" w:color="auto" w:sz="4" w:space="0"/>
            </w:tcBorders>
            <w:vAlign w:val="center"/>
          </w:tcPr>
          <w:p w14:paraId="584AF095">
            <w:pPr>
              <w:rPr>
                <w:rFonts w:ascii="等线" w:hAnsi="等线" w:eastAsia="等线"/>
                <w:color w:val="000000"/>
                <w:sz w:val="22"/>
              </w:rPr>
            </w:pPr>
          </w:p>
        </w:tc>
      </w:tr>
      <w:tr w14:paraId="215FDB6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9AA36D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20743C7">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BC0096D">
            <w:pPr>
              <w:rPr>
                <w:rFonts w:hint="eastAsia" w:ascii="仿宋_GB2312" w:hAnsi="等线" w:eastAsia="仿宋_GB2312"/>
                <w:color w:val="000000"/>
              </w:rPr>
            </w:pPr>
            <w:r>
              <w:rPr>
                <w:rFonts w:hint="eastAsia" w:ascii="仿宋_GB2312" w:hAnsi="等线" w:eastAsia="仿宋_GB2312"/>
                <w:color w:val="000000"/>
              </w:rPr>
              <w:t xml:space="preserve">2.2.4 </w:t>
            </w:r>
            <w:r>
              <w:rPr>
                <w:rFonts w:hint="eastAsia"/>
                <w:color w:val="000000"/>
              </w:rPr>
              <w:t>能够利用智能投顾工具对特定风险承受能力的客户进行符合其风险等级的基金定投建议。</w:t>
            </w:r>
          </w:p>
        </w:tc>
        <w:tc>
          <w:tcPr>
            <w:tcW w:w="0" w:type="auto"/>
            <w:vMerge w:val="continue"/>
            <w:tcBorders>
              <w:top w:val="nil"/>
              <w:left w:val="single" w:color="auto" w:sz="4" w:space="0"/>
              <w:bottom w:val="single" w:color="auto" w:sz="4" w:space="0"/>
              <w:right w:val="single" w:color="auto" w:sz="4" w:space="0"/>
            </w:tcBorders>
            <w:vAlign w:val="center"/>
          </w:tcPr>
          <w:p w14:paraId="0136762A">
            <w:pPr>
              <w:rPr>
                <w:rFonts w:ascii="等线" w:hAnsi="等线" w:eastAsia="等线"/>
                <w:color w:val="000000"/>
                <w:sz w:val="22"/>
              </w:rPr>
            </w:pPr>
          </w:p>
        </w:tc>
      </w:tr>
      <w:tr w14:paraId="357B409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5702C4B">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B6041F3">
            <w:pPr>
              <w:rPr>
                <w:rFonts w:hint="eastAsia" w:ascii="仿宋_GB2312" w:hAnsi="等线" w:eastAsia="仿宋_GB2312"/>
                <w:color w:val="000000"/>
              </w:rPr>
            </w:pPr>
            <w:r>
              <w:rPr>
                <w:rFonts w:hint="eastAsia" w:ascii="仿宋_GB2312" w:hAnsi="等线" w:eastAsia="仿宋_GB2312"/>
                <w:color w:val="000000"/>
              </w:rPr>
              <w:t xml:space="preserve">2.3 </w:t>
            </w:r>
            <w:r>
              <w:rPr>
                <w:rFonts w:hint="eastAsia"/>
                <w:color w:val="000000"/>
              </w:rPr>
              <w:t>证券产品销售及投研</w:t>
            </w:r>
          </w:p>
        </w:tc>
        <w:tc>
          <w:tcPr>
            <w:tcW w:w="0" w:type="auto"/>
            <w:tcBorders>
              <w:top w:val="nil"/>
              <w:left w:val="nil"/>
              <w:bottom w:val="single" w:color="auto" w:sz="4" w:space="0"/>
              <w:right w:val="single" w:color="auto" w:sz="4" w:space="0"/>
            </w:tcBorders>
            <w:shd w:val="clear" w:color="auto" w:fill="auto"/>
            <w:vAlign w:val="center"/>
          </w:tcPr>
          <w:p w14:paraId="66CF03E2">
            <w:pPr>
              <w:rPr>
                <w:rFonts w:hint="eastAsia" w:ascii="仿宋_GB2312" w:hAnsi="等线" w:eastAsia="仿宋_GB2312"/>
                <w:color w:val="000000"/>
              </w:rPr>
            </w:pPr>
            <w:r>
              <w:rPr>
                <w:rFonts w:hint="eastAsia" w:ascii="仿宋_GB2312" w:hAnsi="等线" w:eastAsia="仿宋_GB2312"/>
                <w:color w:val="000000"/>
              </w:rPr>
              <w:t xml:space="preserve">2.3.1 </w:t>
            </w:r>
            <w:r>
              <w:rPr>
                <w:rFonts w:hint="eastAsia"/>
                <w:color w:val="000000"/>
              </w:rPr>
              <w:t>能够通过通关辅导提升线上股票、债券营销技能技巧，并且精准获客。</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ED4D1A4">
            <w:pPr>
              <w:jc w:val="center"/>
              <w:rPr>
                <w:rFonts w:hint="eastAsia" w:ascii="等线" w:hAnsi="等线" w:eastAsia="等线"/>
                <w:color w:val="000000"/>
                <w:sz w:val="22"/>
              </w:rPr>
            </w:pPr>
            <w:r>
              <w:rPr>
                <w:rFonts w:hint="eastAsia" w:ascii="等线" w:hAnsi="等线" w:eastAsia="等线"/>
                <w:color w:val="000000"/>
                <w:sz w:val="22"/>
              </w:rPr>
              <w:t>线上营销技巧、金融产品通关辅导，及股票债券基金营销策略、在线工具流程梳理、营销标准化流程设计、长久效应评估知识要求。</w:t>
            </w:r>
          </w:p>
        </w:tc>
      </w:tr>
      <w:tr w14:paraId="04DF135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5468D92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55FD59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89281BC">
            <w:pPr>
              <w:rPr>
                <w:rFonts w:hint="eastAsia" w:ascii="仿宋_GB2312" w:hAnsi="等线" w:eastAsia="仿宋_GB2312"/>
                <w:color w:val="000000"/>
              </w:rPr>
            </w:pPr>
            <w:r>
              <w:rPr>
                <w:rFonts w:hint="eastAsia" w:ascii="仿宋_GB2312" w:hAnsi="等线" w:eastAsia="仿宋_GB2312"/>
                <w:color w:val="000000"/>
              </w:rPr>
              <w:t xml:space="preserve">2.3.2 </w:t>
            </w:r>
            <w:r>
              <w:rPr>
                <w:rFonts w:hint="eastAsia"/>
                <w:color w:val="000000"/>
              </w:rPr>
              <w:t>能够通过通关辅导提升线上基金营销技能技巧，并且精准获客。</w:t>
            </w:r>
          </w:p>
        </w:tc>
        <w:tc>
          <w:tcPr>
            <w:tcW w:w="0" w:type="auto"/>
            <w:vMerge w:val="continue"/>
            <w:tcBorders>
              <w:top w:val="nil"/>
              <w:left w:val="single" w:color="auto" w:sz="4" w:space="0"/>
              <w:bottom w:val="single" w:color="auto" w:sz="4" w:space="0"/>
              <w:right w:val="single" w:color="auto" w:sz="4" w:space="0"/>
            </w:tcBorders>
            <w:vAlign w:val="center"/>
          </w:tcPr>
          <w:p w14:paraId="0787EEC1">
            <w:pPr>
              <w:rPr>
                <w:rFonts w:ascii="等线" w:hAnsi="等线" w:eastAsia="等线"/>
                <w:color w:val="000000"/>
                <w:sz w:val="22"/>
              </w:rPr>
            </w:pPr>
          </w:p>
        </w:tc>
      </w:tr>
      <w:tr w14:paraId="29AD485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CF5D767">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E5592B6">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3EA398B">
            <w:pPr>
              <w:rPr>
                <w:rFonts w:hint="eastAsia" w:ascii="仿宋_GB2312" w:hAnsi="等线" w:eastAsia="仿宋_GB2312"/>
                <w:color w:val="000000"/>
              </w:rPr>
            </w:pPr>
            <w:r>
              <w:rPr>
                <w:rFonts w:hint="eastAsia" w:ascii="仿宋_GB2312" w:hAnsi="等线" w:eastAsia="仿宋_GB2312"/>
                <w:color w:val="000000"/>
              </w:rPr>
              <w:t xml:space="preserve">2.3.3 </w:t>
            </w:r>
            <w:r>
              <w:rPr>
                <w:rFonts w:hint="eastAsia"/>
                <w:color w:val="000000"/>
              </w:rPr>
              <w:t>能够通过在线工具流程梳理运用，为股票债券营销标准化流程化树立长久效应。</w:t>
            </w:r>
          </w:p>
        </w:tc>
        <w:tc>
          <w:tcPr>
            <w:tcW w:w="0" w:type="auto"/>
            <w:vMerge w:val="continue"/>
            <w:tcBorders>
              <w:top w:val="nil"/>
              <w:left w:val="single" w:color="auto" w:sz="4" w:space="0"/>
              <w:bottom w:val="single" w:color="auto" w:sz="4" w:space="0"/>
              <w:right w:val="single" w:color="auto" w:sz="4" w:space="0"/>
            </w:tcBorders>
            <w:vAlign w:val="center"/>
          </w:tcPr>
          <w:p w14:paraId="3BAE52DA">
            <w:pPr>
              <w:rPr>
                <w:rFonts w:ascii="等线" w:hAnsi="等线" w:eastAsia="等线"/>
                <w:color w:val="000000"/>
                <w:sz w:val="22"/>
              </w:rPr>
            </w:pPr>
          </w:p>
        </w:tc>
      </w:tr>
      <w:tr w14:paraId="0E6979D1">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7BE0973">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07D6FAC">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731ECBA">
            <w:pPr>
              <w:rPr>
                <w:rFonts w:hint="eastAsia" w:ascii="仿宋_GB2312" w:hAnsi="等线" w:eastAsia="仿宋_GB2312"/>
                <w:color w:val="000000"/>
              </w:rPr>
            </w:pPr>
            <w:r>
              <w:rPr>
                <w:rFonts w:hint="eastAsia" w:ascii="仿宋_GB2312" w:hAnsi="等线" w:eastAsia="仿宋_GB2312"/>
                <w:color w:val="000000"/>
              </w:rPr>
              <w:t xml:space="preserve">2.3.4 </w:t>
            </w:r>
            <w:r>
              <w:rPr>
                <w:rFonts w:hint="eastAsia"/>
                <w:color w:val="000000"/>
              </w:rPr>
              <w:t>能够通过在线工具流程梳理运用，为基金营销标准化流程化树立长久效应。</w:t>
            </w:r>
          </w:p>
        </w:tc>
        <w:tc>
          <w:tcPr>
            <w:tcW w:w="0" w:type="auto"/>
            <w:vMerge w:val="continue"/>
            <w:tcBorders>
              <w:top w:val="nil"/>
              <w:left w:val="single" w:color="auto" w:sz="4" w:space="0"/>
              <w:bottom w:val="single" w:color="auto" w:sz="4" w:space="0"/>
              <w:right w:val="single" w:color="auto" w:sz="4" w:space="0"/>
            </w:tcBorders>
            <w:vAlign w:val="center"/>
          </w:tcPr>
          <w:p w14:paraId="51539434">
            <w:pPr>
              <w:rPr>
                <w:rFonts w:ascii="等线" w:hAnsi="等线" w:eastAsia="等线"/>
                <w:color w:val="000000"/>
                <w:sz w:val="22"/>
              </w:rPr>
            </w:pPr>
          </w:p>
        </w:tc>
      </w:tr>
      <w:tr w14:paraId="31521EA2">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F73021E">
            <w:pPr>
              <w:rPr>
                <w:rFonts w:hint="eastAsia" w:ascii="仿宋_GB2312" w:hAnsi="等线" w:eastAsia="仿宋_GB2312"/>
                <w:color w:val="000000"/>
              </w:rPr>
            </w:pPr>
            <w:r>
              <w:rPr>
                <w:rFonts w:hint="eastAsia" w:ascii="仿宋_GB2312" w:hAnsi="等线" w:eastAsia="仿宋_GB2312"/>
                <w:color w:val="000000"/>
              </w:rPr>
              <w:t>3.</w:t>
            </w:r>
            <w:r>
              <w:rPr>
                <w:rFonts w:hint="eastAsia"/>
                <w:color w:val="000000"/>
              </w:rPr>
              <w:t>复杂金融产品规划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A2525C4">
            <w:pPr>
              <w:rPr>
                <w:rFonts w:hint="eastAsia" w:ascii="仿宋_GB2312" w:hAnsi="等线" w:eastAsia="仿宋_GB2312"/>
                <w:color w:val="000000"/>
              </w:rPr>
            </w:pPr>
            <w:r>
              <w:rPr>
                <w:rFonts w:hint="eastAsia" w:ascii="仿宋_GB2312" w:hAnsi="等线" w:eastAsia="仿宋_GB2312"/>
                <w:color w:val="000000"/>
              </w:rPr>
              <w:t xml:space="preserve">3.1 </w:t>
            </w:r>
            <w:r>
              <w:rPr>
                <w:rFonts w:hint="eastAsia"/>
                <w:color w:val="000000"/>
              </w:rPr>
              <w:t>黄金产品投研</w:t>
            </w:r>
          </w:p>
        </w:tc>
        <w:tc>
          <w:tcPr>
            <w:tcW w:w="0" w:type="auto"/>
            <w:tcBorders>
              <w:top w:val="nil"/>
              <w:left w:val="nil"/>
              <w:bottom w:val="single" w:color="auto" w:sz="4" w:space="0"/>
              <w:right w:val="single" w:color="auto" w:sz="4" w:space="0"/>
            </w:tcBorders>
            <w:shd w:val="clear" w:color="auto" w:fill="auto"/>
            <w:vAlign w:val="center"/>
          </w:tcPr>
          <w:p w14:paraId="7E26CD8E">
            <w:pPr>
              <w:rPr>
                <w:rFonts w:hint="eastAsia" w:ascii="仿宋_GB2312" w:hAnsi="等线" w:eastAsia="仿宋_GB2312"/>
                <w:color w:val="000000"/>
              </w:rPr>
            </w:pPr>
            <w:r>
              <w:rPr>
                <w:rFonts w:hint="eastAsia" w:ascii="仿宋_GB2312" w:hAnsi="等线" w:eastAsia="仿宋_GB2312"/>
                <w:color w:val="000000"/>
              </w:rPr>
              <w:t xml:space="preserve">3.1.1 </w:t>
            </w:r>
            <w:r>
              <w:rPr>
                <w:rFonts w:hint="eastAsia"/>
                <w:color w:val="000000"/>
              </w:rPr>
              <w:t>能够针对特定风险承受能力的客户进行黄金产品的合理配置。</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1A8BC72">
            <w:pPr>
              <w:jc w:val="center"/>
              <w:rPr>
                <w:rFonts w:hint="eastAsia" w:ascii="等线" w:hAnsi="等线" w:eastAsia="等线"/>
                <w:color w:val="000000"/>
                <w:sz w:val="22"/>
              </w:rPr>
            </w:pPr>
            <w:r>
              <w:rPr>
                <w:rFonts w:hint="eastAsia" w:ascii="等线" w:hAnsi="等线" w:eastAsia="等线"/>
                <w:color w:val="000000"/>
                <w:sz w:val="22"/>
              </w:rPr>
              <w:t>黄金产品投资、风险管理与对冲，及黄金配置策略、非系统性风险分散、智能投顾与黄金产品配置、实操步骤与技巧知识要求。</w:t>
            </w:r>
          </w:p>
        </w:tc>
      </w:tr>
      <w:tr w14:paraId="2896B5E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66DEFB0">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2910DAD">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1C67E6B">
            <w:pPr>
              <w:rPr>
                <w:rFonts w:hint="eastAsia" w:ascii="仿宋_GB2312" w:hAnsi="等线" w:eastAsia="仿宋_GB2312"/>
                <w:color w:val="000000"/>
              </w:rPr>
            </w:pPr>
            <w:r>
              <w:rPr>
                <w:rFonts w:hint="eastAsia" w:ascii="仿宋_GB2312" w:hAnsi="等线" w:eastAsia="仿宋_GB2312"/>
                <w:color w:val="000000"/>
              </w:rPr>
              <w:t xml:space="preserve">3.1.2 </w:t>
            </w:r>
            <w:r>
              <w:rPr>
                <w:rFonts w:hint="eastAsia"/>
                <w:color w:val="000000"/>
              </w:rPr>
              <w:t>利用黄金产品的特点进行对冲和避险。</w:t>
            </w:r>
          </w:p>
        </w:tc>
        <w:tc>
          <w:tcPr>
            <w:tcW w:w="0" w:type="auto"/>
            <w:vMerge w:val="continue"/>
            <w:tcBorders>
              <w:top w:val="nil"/>
              <w:left w:val="single" w:color="auto" w:sz="4" w:space="0"/>
              <w:bottom w:val="single" w:color="auto" w:sz="4" w:space="0"/>
              <w:right w:val="single" w:color="auto" w:sz="4" w:space="0"/>
            </w:tcBorders>
            <w:vAlign w:val="center"/>
          </w:tcPr>
          <w:p w14:paraId="36EC76CF">
            <w:pPr>
              <w:rPr>
                <w:rFonts w:ascii="等线" w:hAnsi="等线" w:eastAsia="等线"/>
                <w:color w:val="000000"/>
                <w:sz w:val="22"/>
              </w:rPr>
            </w:pPr>
          </w:p>
        </w:tc>
      </w:tr>
      <w:tr w14:paraId="3F77C16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8CDFD9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1868869">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312BF5F8">
            <w:pPr>
              <w:rPr>
                <w:rFonts w:hint="eastAsia" w:ascii="仿宋_GB2312" w:hAnsi="等线" w:eastAsia="仿宋_GB2312"/>
                <w:color w:val="000000"/>
              </w:rPr>
            </w:pPr>
            <w:r>
              <w:rPr>
                <w:rFonts w:hint="eastAsia" w:ascii="仿宋_GB2312" w:hAnsi="等线" w:eastAsia="仿宋_GB2312"/>
                <w:color w:val="000000"/>
              </w:rPr>
              <w:t xml:space="preserve">3.1.3 </w:t>
            </w:r>
            <w:r>
              <w:rPr>
                <w:rFonts w:hint="eastAsia"/>
                <w:color w:val="000000"/>
              </w:rPr>
              <w:t>能够合理利用黄金产品分散已成型的配置产品的非系统性风险。</w:t>
            </w:r>
          </w:p>
        </w:tc>
        <w:tc>
          <w:tcPr>
            <w:tcW w:w="0" w:type="auto"/>
            <w:vMerge w:val="continue"/>
            <w:tcBorders>
              <w:top w:val="nil"/>
              <w:left w:val="single" w:color="auto" w:sz="4" w:space="0"/>
              <w:bottom w:val="single" w:color="auto" w:sz="4" w:space="0"/>
              <w:right w:val="single" w:color="auto" w:sz="4" w:space="0"/>
            </w:tcBorders>
            <w:vAlign w:val="center"/>
          </w:tcPr>
          <w:p w14:paraId="7E87EC0E">
            <w:pPr>
              <w:rPr>
                <w:rFonts w:ascii="等线" w:hAnsi="等线" w:eastAsia="等线"/>
                <w:color w:val="000000"/>
                <w:sz w:val="22"/>
              </w:rPr>
            </w:pPr>
          </w:p>
        </w:tc>
      </w:tr>
      <w:tr w14:paraId="5A2E02D3">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0448BF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0BAC8B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8B2043E">
            <w:pPr>
              <w:rPr>
                <w:rFonts w:hint="eastAsia" w:ascii="仿宋_GB2312" w:hAnsi="等线" w:eastAsia="仿宋_GB2312"/>
                <w:color w:val="000000"/>
              </w:rPr>
            </w:pPr>
            <w:r>
              <w:rPr>
                <w:rFonts w:hint="eastAsia" w:ascii="仿宋_GB2312" w:hAnsi="等线" w:eastAsia="仿宋_GB2312"/>
                <w:color w:val="000000"/>
              </w:rPr>
              <w:t xml:space="preserve">3.1.4 </w:t>
            </w:r>
            <w:r>
              <w:rPr>
                <w:rFonts w:hint="eastAsia"/>
                <w:color w:val="000000"/>
              </w:rPr>
              <w:t>利用智能投顾工具为客户配置相关黄金产品，并且熟练掌握步骤。</w:t>
            </w:r>
          </w:p>
        </w:tc>
        <w:tc>
          <w:tcPr>
            <w:tcW w:w="0" w:type="auto"/>
            <w:vMerge w:val="continue"/>
            <w:tcBorders>
              <w:top w:val="nil"/>
              <w:left w:val="single" w:color="auto" w:sz="4" w:space="0"/>
              <w:bottom w:val="single" w:color="auto" w:sz="4" w:space="0"/>
              <w:right w:val="single" w:color="auto" w:sz="4" w:space="0"/>
            </w:tcBorders>
            <w:vAlign w:val="center"/>
          </w:tcPr>
          <w:p w14:paraId="1059A57A">
            <w:pPr>
              <w:rPr>
                <w:rFonts w:ascii="等线" w:hAnsi="等线" w:eastAsia="等线"/>
                <w:color w:val="000000"/>
                <w:sz w:val="22"/>
              </w:rPr>
            </w:pPr>
          </w:p>
        </w:tc>
      </w:tr>
      <w:tr w14:paraId="77DED46E">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22F39C3">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8C7B0E6">
            <w:pPr>
              <w:rPr>
                <w:rFonts w:hint="eastAsia" w:ascii="仿宋_GB2312" w:hAnsi="等线" w:eastAsia="仿宋_GB2312"/>
                <w:color w:val="000000"/>
              </w:rPr>
            </w:pPr>
            <w:r>
              <w:rPr>
                <w:rFonts w:hint="eastAsia" w:ascii="仿宋_GB2312" w:hAnsi="等线" w:eastAsia="仿宋_GB2312"/>
                <w:color w:val="000000"/>
              </w:rPr>
              <w:t xml:space="preserve">3.2 </w:t>
            </w:r>
            <w:r>
              <w:rPr>
                <w:rFonts w:hint="eastAsia"/>
                <w:color w:val="000000"/>
              </w:rPr>
              <w:t>外汇产品投研</w:t>
            </w:r>
          </w:p>
        </w:tc>
        <w:tc>
          <w:tcPr>
            <w:tcW w:w="0" w:type="auto"/>
            <w:tcBorders>
              <w:top w:val="nil"/>
              <w:left w:val="nil"/>
              <w:bottom w:val="single" w:color="auto" w:sz="4" w:space="0"/>
              <w:right w:val="single" w:color="auto" w:sz="4" w:space="0"/>
            </w:tcBorders>
            <w:shd w:val="clear" w:color="auto" w:fill="auto"/>
            <w:vAlign w:val="center"/>
          </w:tcPr>
          <w:p w14:paraId="7FDA5732">
            <w:pPr>
              <w:rPr>
                <w:rFonts w:hint="eastAsia" w:ascii="仿宋_GB2312" w:hAnsi="等线" w:eastAsia="仿宋_GB2312"/>
                <w:color w:val="000000"/>
              </w:rPr>
            </w:pPr>
            <w:r>
              <w:rPr>
                <w:rFonts w:hint="eastAsia" w:ascii="仿宋_GB2312" w:hAnsi="等线" w:eastAsia="仿宋_GB2312"/>
                <w:color w:val="000000"/>
              </w:rPr>
              <w:t xml:space="preserve">3.2.1 </w:t>
            </w:r>
            <w:r>
              <w:rPr>
                <w:rFonts w:hint="eastAsia"/>
                <w:color w:val="000000"/>
              </w:rPr>
              <w:t>能够针对特定风险承受能力的客户进行外汇产品的合理配置。</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6500BBA">
            <w:pPr>
              <w:jc w:val="center"/>
              <w:rPr>
                <w:rFonts w:hint="eastAsia" w:ascii="等线" w:hAnsi="等线" w:eastAsia="等线"/>
                <w:color w:val="000000"/>
                <w:sz w:val="22"/>
              </w:rPr>
            </w:pPr>
            <w:r>
              <w:rPr>
                <w:rFonts w:hint="eastAsia" w:ascii="等线" w:hAnsi="等线" w:eastAsia="等线"/>
                <w:color w:val="000000"/>
                <w:sz w:val="22"/>
              </w:rPr>
              <w:t>外汇产品投资、风险对冲与避险，及外汇配置策略、非系统性风险分散、智能投顾与外汇产品配置、实操流程与技巧知识要求。</w:t>
            </w:r>
          </w:p>
        </w:tc>
      </w:tr>
      <w:tr w14:paraId="35AAB0CB">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A887586">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0116F5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57EA533F">
            <w:pPr>
              <w:rPr>
                <w:rFonts w:hint="eastAsia" w:ascii="仿宋_GB2312" w:hAnsi="等线" w:eastAsia="仿宋_GB2312"/>
                <w:color w:val="000000"/>
              </w:rPr>
            </w:pPr>
            <w:r>
              <w:rPr>
                <w:rFonts w:hint="eastAsia" w:ascii="仿宋_GB2312" w:hAnsi="等线" w:eastAsia="仿宋_GB2312"/>
                <w:color w:val="000000"/>
              </w:rPr>
              <w:t xml:space="preserve">3.2.2 </w:t>
            </w:r>
            <w:r>
              <w:rPr>
                <w:rFonts w:hint="eastAsia"/>
                <w:color w:val="000000"/>
              </w:rPr>
              <w:t>利用外汇产品的特点进行对冲和避险。</w:t>
            </w:r>
          </w:p>
        </w:tc>
        <w:tc>
          <w:tcPr>
            <w:tcW w:w="0" w:type="auto"/>
            <w:vMerge w:val="continue"/>
            <w:tcBorders>
              <w:top w:val="nil"/>
              <w:left w:val="single" w:color="auto" w:sz="4" w:space="0"/>
              <w:bottom w:val="single" w:color="auto" w:sz="4" w:space="0"/>
              <w:right w:val="single" w:color="auto" w:sz="4" w:space="0"/>
            </w:tcBorders>
            <w:vAlign w:val="center"/>
          </w:tcPr>
          <w:p w14:paraId="53887984">
            <w:pPr>
              <w:rPr>
                <w:rFonts w:ascii="等线" w:hAnsi="等线" w:eastAsia="等线"/>
                <w:color w:val="000000"/>
                <w:sz w:val="22"/>
              </w:rPr>
            </w:pPr>
          </w:p>
        </w:tc>
      </w:tr>
      <w:tr w14:paraId="7E9D539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04D2E8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BFF595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E127BEC">
            <w:pPr>
              <w:rPr>
                <w:rFonts w:hint="eastAsia" w:ascii="仿宋_GB2312" w:hAnsi="等线" w:eastAsia="仿宋_GB2312"/>
                <w:color w:val="000000"/>
              </w:rPr>
            </w:pPr>
            <w:r>
              <w:rPr>
                <w:rFonts w:hint="eastAsia" w:ascii="仿宋_GB2312" w:hAnsi="等线" w:eastAsia="仿宋_GB2312"/>
                <w:color w:val="000000"/>
              </w:rPr>
              <w:t xml:space="preserve">3.2.3 </w:t>
            </w:r>
            <w:r>
              <w:rPr>
                <w:rFonts w:hint="eastAsia"/>
                <w:color w:val="000000"/>
              </w:rPr>
              <w:t>能够合理利用外汇产品分散已成型的配置产品的非系统性风险。</w:t>
            </w:r>
          </w:p>
        </w:tc>
        <w:tc>
          <w:tcPr>
            <w:tcW w:w="0" w:type="auto"/>
            <w:vMerge w:val="continue"/>
            <w:tcBorders>
              <w:top w:val="nil"/>
              <w:left w:val="single" w:color="auto" w:sz="4" w:space="0"/>
              <w:bottom w:val="single" w:color="auto" w:sz="4" w:space="0"/>
              <w:right w:val="single" w:color="auto" w:sz="4" w:space="0"/>
            </w:tcBorders>
            <w:vAlign w:val="center"/>
          </w:tcPr>
          <w:p w14:paraId="56290478">
            <w:pPr>
              <w:rPr>
                <w:rFonts w:ascii="等线" w:hAnsi="等线" w:eastAsia="等线"/>
                <w:color w:val="000000"/>
                <w:sz w:val="22"/>
              </w:rPr>
            </w:pPr>
          </w:p>
        </w:tc>
      </w:tr>
      <w:tr w14:paraId="1A8B0A57">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49DE76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8C3694E">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BABBE2A">
            <w:pPr>
              <w:rPr>
                <w:rFonts w:hint="eastAsia" w:ascii="仿宋_GB2312" w:hAnsi="等线" w:eastAsia="仿宋_GB2312"/>
                <w:color w:val="000000"/>
              </w:rPr>
            </w:pPr>
            <w:r>
              <w:rPr>
                <w:rFonts w:hint="eastAsia" w:ascii="仿宋_GB2312" w:hAnsi="等线" w:eastAsia="仿宋_GB2312"/>
                <w:color w:val="000000"/>
              </w:rPr>
              <w:t xml:space="preserve">3.2.4 </w:t>
            </w:r>
            <w:r>
              <w:rPr>
                <w:rFonts w:hint="eastAsia"/>
                <w:color w:val="000000"/>
              </w:rPr>
              <w:t>利用智能投顾工具为客户配置相关外汇产品，并且熟练掌握步骤。</w:t>
            </w:r>
          </w:p>
        </w:tc>
        <w:tc>
          <w:tcPr>
            <w:tcW w:w="0" w:type="auto"/>
            <w:vMerge w:val="continue"/>
            <w:tcBorders>
              <w:top w:val="nil"/>
              <w:left w:val="single" w:color="auto" w:sz="4" w:space="0"/>
              <w:bottom w:val="single" w:color="auto" w:sz="4" w:space="0"/>
              <w:right w:val="single" w:color="auto" w:sz="4" w:space="0"/>
            </w:tcBorders>
            <w:vAlign w:val="center"/>
          </w:tcPr>
          <w:p w14:paraId="76AB0927">
            <w:pPr>
              <w:rPr>
                <w:rFonts w:ascii="等线" w:hAnsi="等线" w:eastAsia="等线"/>
                <w:color w:val="000000"/>
                <w:sz w:val="22"/>
              </w:rPr>
            </w:pPr>
          </w:p>
        </w:tc>
      </w:tr>
      <w:tr w14:paraId="60745F1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318781B">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CC48F1B">
            <w:pPr>
              <w:rPr>
                <w:rFonts w:hint="eastAsia" w:ascii="仿宋_GB2312" w:hAnsi="等线" w:eastAsia="仿宋_GB2312"/>
                <w:color w:val="000000"/>
              </w:rPr>
            </w:pPr>
            <w:r>
              <w:rPr>
                <w:rFonts w:hint="eastAsia" w:ascii="仿宋_GB2312" w:hAnsi="等线" w:eastAsia="仿宋_GB2312"/>
                <w:color w:val="000000"/>
              </w:rPr>
              <w:t xml:space="preserve">3.3 </w:t>
            </w:r>
            <w:r>
              <w:rPr>
                <w:rFonts w:hint="eastAsia"/>
                <w:color w:val="000000"/>
              </w:rPr>
              <w:t>期货与衍生品投研</w:t>
            </w:r>
          </w:p>
        </w:tc>
        <w:tc>
          <w:tcPr>
            <w:tcW w:w="0" w:type="auto"/>
            <w:tcBorders>
              <w:top w:val="nil"/>
              <w:left w:val="nil"/>
              <w:bottom w:val="single" w:color="auto" w:sz="4" w:space="0"/>
              <w:right w:val="single" w:color="auto" w:sz="4" w:space="0"/>
            </w:tcBorders>
            <w:shd w:val="clear" w:color="auto" w:fill="auto"/>
            <w:vAlign w:val="center"/>
          </w:tcPr>
          <w:p w14:paraId="5BB2DCD8">
            <w:pPr>
              <w:rPr>
                <w:rFonts w:hint="eastAsia" w:ascii="仿宋_GB2312" w:hAnsi="等线" w:eastAsia="仿宋_GB2312"/>
                <w:color w:val="000000"/>
              </w:rPr>
            </w:pPr>
            <w:r>
              <w:rPr>
                <w:rFonts w:hint="eastAsia" w:ascii="仿宋_GB2312" w:hAnsi="等线" w:eastAsia="仿宋_GB2312"/>
                <w:color w:val="000000"/>
              </w:rPr>
              <w:t xml:space="preserve">3.3.1 </w:t>
            </w:r>
            <w:r>
              <w:rPr>
                <w:rFonts w:hint="eastAsia"/>
                <w:color w:val="000000"/>
              </w:rPr>
              <w:t>能够针对特定风险承受能力的客户进行期货与衍生品产品的合理配置。</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77CF22BB">
            <w:pPr>
              <w:jc w:val="center"/>
              <w:rPr>
                <w:rFonts w:hint="eastAsia" w:ascii="等线" w:hAnsi="等线" w:eastAsia="等线"/>
                <w:color w:val="000000"/>
                <w:sz w:val="22"/>
              </w:rPr>
            </w:pPr>
            <w:r>
              <w:rPr>
                <w:rFonts w:hint="eastAsia" w:ascii="等线" w:hAnsi="等线" w:eastAsia="等线"/>
                <w:color w:val="000000"/>
                <w:sz w:val="22"/>
              </w:rPr>
              <w:t>期货与衍生品投资、风险对冲策略，及期货与衍生品配置、非系统性风险分散、智能投顾应用、期货衍生品实操流程知识要求。</w:t>
            </w:r>
          </w:p>
        </w:tc>
      </w:tr>
      <w:tr w14:paraId="6B85D81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B70B24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D73F4C1">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4817B56">
            <w:pPr>
              <w:rPr>
                <w:rFonts w:hint="eastAsia" w:ascii="仿宋_GB2312" w:hAnsi="等线" w:eastAsia="仿宋_GB2312"/>
                <w:color w:val="000000"/>
              </w:rPr>
            </w:pPr>
            <w:r>
              <w:rPr>
                <w:rFonts w:hint="eastAsia" w:ascii="仿宋_GB2312" w:hAnsi="等线" w:eastAsia="仿宋_GB2312"/>
                <w:color w:val="000000"/>
              </w:rPr>
              <w:t xml:space="preserve">3.3.2 </w:t>
            </w:r>
            <w:r>
              <w:rPr>
                <w:rFonts w:hint="eastAsia"/>
                <w:color w:val="000000"/>
              </w:rPr>
              <w:t>利用期货与衍生品的特点进行对冲和避险。</w:t>
            </w:r>
          </w:p>
        </w:tc>
        <w:tc>
          <w:tcPr>
            <w:tcW w:w="0" w:type="auto"/>
            <w:vMerge w:val="continue"/>
            <w:tcBorders>
              <w:top w:val="nil"/>
              <w:left w:val="single" w:color="auto" w:sz="4" w:space="0"/>
              <w:bottom w:val="single" w:color="auto" w:sz="4" w:space="0"/>
              <w:right w:val="single" w:color="auto" w:sz="4" w:space="0"/>
            </w:tcBorders>
            <w:vAlign w:val="center"/>
          </w:tcPr>
          <w:p w14:paraId="3665694F">
            <w:pPr>
              <w:rPr>
                <w:rFonts w:ascii="等线" w:hAnsi="等线" w:eastAsia="等线"/>
                <w:color w:val="000000"/>
                <w:sz w:val="22"/>
              </w:rPr>
            </w:pPr>
          </w:p>
        </w:tc>
      </w:tr>
      <w:tr w14:paraId="7C74E094">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8BF9C6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9E0288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77EDE30">
            <w:pPr>
              <w:rPr>
                <w:rFonts w:hint="eastAsia" w:ascii="仿宋_GB2312" w:hAnsi="等线" w:eastAsia="仿宋_GB2312"/>
                <w:color w:val="000000"/>
              </w:rPr>
            </w:pPr>
            <w:r>
              <w:rPr>
                <w:rFonts w:hint="eastAsia" w:ascii="仿宋_GB2312" w:hAnsi="等线" w:eastAsia="仿宋_GB2312"/>
                <w:color w:val="000000"/>
              </w:rPr>
              <w:t xml:space="preserve">3.3.3 </w:t>
            </w:r>
            <w:r>
              <w:rPr>
                <w:rFonts w:hint="eastAsia"/>
                <w:color w:val="000000"/>
              </w:rPr>
              <w:t>能够合理利用外汇产品分散已成型的配置产品的非系统性风险。</w:t>
            </w:r>
          </w:p>
        </w:tc>
        <w:tc>
          <w:tcPr>
            <w:tcW w:w="0" w:type="auto"/>
            <w:vMerge w:val="continue"/>
            <w:tcBorders>
              <w:top w:val="nil"/>
              <w:left w:val="single" w:color="auto" w:sz="4" w:space="0"/>
              <w:bottom w:val="single" w:color="auto" w:sz="4" w:space="0"/>
              <w:right w:val="single" w:color="auto" w:sz="4" w:space="0"/>
            </w:tcBorders>
            <w:vAlign w:val="center"/>
          </w:tcPr>
          <w:p w14:paraId="091EC4E9">
            <w:pPr>
              <w:rPr>
                <w:rFonts w:ascii="等线" w:hAnsi="等线" w:eastAsia="等线"/>
                <w:color w:val="000000"/>
                <w:sz w:val="22"/>
              </w:rPr>
            </w:pPr>
          </w:p>
        </w:tc>
      </w:tr>
      <w:tr w14:paraId="284800D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AD887FA">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FE53F30">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8B5E536">
            <w:pPr>
              <w:rPr>
                <w:rFonts w:hint="eastAsia" w:ascii="仿宋_GB2312" w:hAnsi="等线" w:eastAsia="仿宋_GB2312"/>
                <w:color w:val="000000"/>
              </w:rPr>
            </w:pPr>
            <w:r>
              <w:rPr>
                <w:rFonts w:hint="eastAsia" w:ascii="仿宋_GB2312" w:hAnsi="等线" w:eastAsia="仿宋_GB2312"/>
                <w:color w:val="000000"/>
              </w:rPr>
              <w:t xml:space="preserve">3.3.4 </w:t>
            </w:r>
            <w:r>
              <w:rPr>
                <w:rFonts w:hint="eastAsia"/>
                <w:color w:val="000000"/>
              </w:rPr>
              <w:t>利用智能投顾工具为客户配置相关期货与衍生品产品，并且熟练掌握步骤。</w:t>
            </w:r>
          </w:p>
        </w:tc>
        <w:tc>
          <w:tcPr>
            <w:tcW w:w="0" w:type="auto"/>
            <w:vMerge w:val="continue"/>
            <w:tcBorders>
              <w:top w:val="nil"/>
              <w:left w:val="single" w:color="auto" w:sz="4" w:space="0"/>
              <w:bottom w:val="single" w:color="auto" w:sz="4" w:space="0"/>
              <w:right w:val="single" w:color="auto" w:sz="4" w:space="0"/>
            </w:tcBorders>
            <w:vAlign w:val="center"/>
          </w:tcPr>
          <w:p w14:paraId="65271B1C">
            <w:pPr>
              <w:rPr>
                <w:rFonts w:ascii="等线" w:hAnsi="等线" w:eastAsia="等线"/>
                <w:color w:val="000000"/>
                <w:sz w:val="22"/>
              </w:rPr>
            </w:pPr>
          </w:p>
        </w:tc>
      </w:tr>
      <w:tr w14:paraId="3A08D16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D557273">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2149C05">
            <w:pPr>
              <w:rPr>
                <w:rFonts w:hint="eastAsia" w:ascii="仿宋_GB2312" w:hAnsi="等线" w:eastAsia="仿宋_GB2312"/>
                <w:color w:val="000000"/>
              </w:rPr>
            </w:pPr>
            <w:r>
              <w:rPr>
                <w:rFonts w:hint="eastAsia" w:ascii="仿宋_GB2312" w:hAnsi="等线" w:eastAsia="仿宋_GB2312"/>
                <w:color w:val="000000"/>
              </w:rPr>
              <w:t xml:space="preserve">3.4 </w:t>
            </w:r>
            <w:r>
              <w:rPr>
                <w:rFonts w:hint="eastAsia"/>
                <w:color w:val="000000"/>
              </w:rPr>
              <w:t>私募股权基金产品投研</w:t>
            </w:r>
          </w:p>
        </w:tc>
        <w:tc>
          <w:tcPr>
            <w:tcW w:w="0" w:type="auto"/>
            <w:tcBorders>
              <w:top w:val="nil"/>
              <w:left w:val="nil"/>
              <w:bottom w:val="single" w:color="auto" w:sz="4" w:space="0"/>
              <w:right w:val="single" w:color="auto" w:sz="4" w:space="0"/>
            </w:tcBorders>
            <w:shd w:val="clear" w:color="auto" w:fill="auto"/>
            <w:vAlign w:val="center"/>
          </w:tcPr>
          <w:p w14:paraId="6BB21134">
            <w:pPr>
              <w:rPr>
                <w:rFonts w:hint="eastAsia" w:ascii="仿宋_GB2312" w:hAnsi="等线" w:eastAsia="仿宋_GB2312"/>
                <w:color w:val="000000"/>
              </w:rPr>
            </w:pPr>
            <w:r>
              <w:rPr>
                <w:rFonts w:hint="eastAsia" w:ascii="仿宋_GB2312" w:hAnsi="等线" w:eastAsia="仿宋_GB2312"/>
                <w:color w:val="000000"/>
              </w:rPr>
              <w:t xml:space="preserve">3.4.1 </w:t>
            </w:r>
            <w:r>
              <w:rPr>
                <w:rFonts w:hint="eastAsia"/>
                <w:color w:val="000000"/>
              </w:rPr>
              <w:t>能够针对特定风险承受能力的客户进行私募股权基金产品的合理配置。</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94AEA3C">
            <w:pPr>
              <w:jc w:val="center"/>
              <w:rPr>
                <w:rFonts w:hint="eastAsia" w:ascii="等线" w:hAnsi="等线" w:eastAsia="等线"/>
                <w:color w:val="000000"/>
                <w:sz w:val="22"/>
              </w:rPr>
            </w:pPr>
            <w:r>
              <w:rPr>
                <w:rFonts w:hint="eastAsia" w:ascii="等线" w:hAnsi="等线" w:eastAsia="等线"/>
                <w:color w:val="000000"/>
                <w:sz w:val="22"/>
              </w:rPr>
              <w:t>私募股权基金投资、风险对冲与管理，及私募股权基金配置、非系统性风险分散、智能投顾工具应用、私募股权实操流程知识要求。</w:t>
            </w:r>
          </w:p>
        </w:tc>
      </w:tr>
      <w:tr w14:paraId="3980CF3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F55E21C">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CD044E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7CEF5D8D">
            <w:pPr>
              <w:rPr>
                <w:rFonts w:hint="eastAsia" w:ascii="仿宋_GB2312" w:hAnsi="等线" w:eastAsia="仿宋_GB2312"/>
                <w:color w:val="000000"/>
              </w:rPr>
            </w:pPr>
            <w:r>
              <w:rPr>
                <w:rFonts w:hint="eastAsia" w:ascii="仿宋_GB2312" w:hAnsi="等线" w:eastAsia="仿宋_GB2312"/>
                <w:color w:val="000000"/>
              </w:rPr>
              <w:t xml:space="preserve">3.4.2 </w:t>
            </w:r>
            <w:r>
              <w:rPr>
                <w:rFonts w:hint="eastAsia"/>
                <w:color w:val="000000"/>
              </w:rPr>
              <w:t>利用私募股权基金产品的特点进行对冲和避险。</w:t>
            </w:r>
          </w:p>
        </w:tc>
        <w:tc>
          <w:tcPr>
            <w:tcW w:w="0" w:type="auto"/>
            <w:vMerge w:val="continue"/>
            <w:tcBorders>
              <w:top w:val="nil"/>
              <w:left w:val="single" w:color="auto" w:sz="4" w:space="0"/>
              <w:bottom w:val="single" w:color="auto" w:sz="4" w:space="0"/>
              <w:right w:val="single" w:color="auto" w:sz="4" w:space="0"/>
            </w:tcBorders>
            <w:vAlign w:val="center"/>
          </w:tcPr>
          <w:p w14:paraId="05E4E70F">
            <w:pPr>
              <w:rPr>
                <w:rFonts w:ascii="等线" w:hAnsi="等线" w:eastAsia="等线"/>
                <w:color w:val="000000"/>
                <w:sz w:val="22"/>
              </w:rPr>
            </w:pPr>
          </w:p>
        </w:tc>
      </w:tr>
      <w:tr w14:paraId="526E3BC0">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D9B381F">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6C4B262">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22FC517D">
            <w:pPr>
              <w:rPr>
                <w:rFonts w:hint="eastAsia" w:ascii="仿宋_GB2312" w:hAnsi="等线" w:eastAsia="仿宋_GB2312"/>
                <w:color w:val="000000"/>
              </w:rPr>
            </w:pPr>
            <w:r>
              <w:rPr>
                <w:rFonts w:hint="eastAsia" w:ascii="仿宋_GB2312" w:hAnsi="等线" w:eastAsia="仿宋_GB2312"/>
                <w:color w:val="000000"/>
              </w:rPr>
              <w:t xml:space="preserve">3.4.3 </w:t>
            </w:r>
            <w:r>
              <w:rPr>
                <w:rFonts w:hint="eastAsia"/>
                <w:color w:val="000000"/>
              </w:rPr>
              <w:t>能够合理利用私募股权基金产品分散已成型的配置产品的非系统性风险。</w:t>
            </w:r>
          </w:p>
        </w:tc>
        <w:tc>
          <w:tcPr>
            <w:tcW w:w="0" w:type="auto"/>
            <w:vMerge w:val="continue"/>
            <w:tcBorders>
              <w:top w:val="nil"/>
              <w:left w:val="single" w:color="auto" w:sz="4" w:space="0"/>
              <w:bottom w:val="single" w:color="auto" w:sz="4" w:space="0"/>
              <w:right w:val="single" w:color="auto" w:sz="4" w:space="0"/>
            </w:tcBorders>
            <w:vAlign w:val="center"/>
          </w:tcPr>
          <w:p w14:paraId="44CEF3DD">
            <w:pPr>
              <w:rPr>
                <w:rFonts w:ascii="等线" w:hAnsi="等线" w:eastAsia="等线"/>
                <w:color w:val="000000"/>
                <w:sz w:val="22"/>
              </w:rPr>
            </w:pPr>
          </w:p>
        </w:tc>
      </w:tr>
      <w:tr w14:paraId="718E22D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9F7261D">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97E1FEB">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69B5E1B">
            <w:pPr>
              <w:rPr>
                <w:rFonts w:hint="eastAsia" w:ascii="仿宋_GB2312" w:hAnsi="等线" w:eastAsia="仿宋_GB2312"/>
                <w:color w:val="000000"/>
              </w:rPr>
            </w:pPr>
            <w:r>
              <w:rPr>
                <w:rFonts w:hint="eastAsia" w:ascii="仿宋_GB2312" w:hAnsi="等线" w:eastAsia="仿宋_GB2312"/>
                <w:color w:val="000000"/>
              </w:rPr>
              <w:t xml:space="preserve">3.4.4 </w:t>
            </w:r>
            <w:r>
              <w:rPr>
                <w:rFonts w:hint="eastAsia"/>
                <w:color w:val="000000"/>
              </w:rPr>
              <w:t>利用智能投顾工具为客户配置相关私募股权基金产品，并且熟练掌握步骤。</w:t>
            </w:r>
          </w:p>
        </w:tc>
        <w:tc>
          <w:tcPr>
            <w:tcW w:w="0" w:type="auto"/>
            <w:vMerge w:val="continue"/>
            <w:tcBorders>
              <w:top w:val="nil"/>
              <w:left w:val="single" w:color="auto" w:sz="4" w:space="0"/>
              <w:bottom w:val="single" w:color="auto" w:sz="4" w:space="0"/>
              <w:right w:val="single" w:color="auto" w:sz="4" w:space="0"/>
            </w:tcBorders>
            <w:vAlign w:val="center"/>
          </w:tcPr>
          <w:p w14:paraId="1175DC39">
            <w:pPr>
              <w:rPr>
                <w:rFonts w:ascii="等线" w:hAnsi="等线" w:eastAsia="等线"/>
                <w:color w:val="000000"/>
                <w:sz w:val="22"/>
              </w:rPr>
            </w:pPr>
          </w:p>
        </w:tc>
      </w:tr>
      <w:tr w14:paraId="37065394">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4DB6B6B">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20B4D57E">
            <w:pPr>
              <w:rPr>
                <w:rFonts w:hint="eastAsia" w:ascii="仿宋_GB2312" w:hAnsi="等线" w:eastAsia="仿宋_GB2312"/>
                <w:color w:val="000000"/>
              </w:rPr>
            </w:pPr>
            <w:r>
              <w:rPr>
                <w:rFonts w:hint="eastAsia" w:ascii="仿宋_GB2312" w:hAnsi="等线" w:eastAsia="仿宋_GB2312"/>
                <w:color w:val="000000"/>
              </w:rPr>
              <w:t xml:space="preserve">3.5 </w:t>
            </w:r>
            <w:r>
              <w:rPr>
                <w:rFonts w:hint="eastAsia"/>
                <w:color w:val="000000"/>
              </w:rPr>
              <w:t>进阶复杂金融产品销售</w:t>
            </w:r>
          </w:p>
        </w:tc>
        <w:tc>
          <w:tcPr>
            <w:tcW w:w="0" w:type="auto"/>
            <w:tcBorders>
              <w:top w:val="nil"/>
              <w:left w:val="nil"/>
              <w:bottom w:val="single" w:color="auto" w:sz="4" w:space="0"/>
              <w:right w:val="single" w:color="auto" w:sz="4" w:space="0"/>
            </w:tcBorders>
            <w:shd w:val="clear" w:color="auto" w:fill="auto"/>
            <w:vAlign w:val="center"/>
          </w:tcPr>
          <w:p w14:paraId="546F12B9">
            <w:pPr>
              <w:rPr>
                <w:rFonts w:hint="eastAsia" w:ascii="仿宋_GB2312" w:hAnsi="等线" w:eastAsia="仿宋_GB2312"/>
                <w:color w:val="000000"/>
              </w:rPr>
            </w:pPr>
            <w:r>
              <w:rPr>
                <w:rFonts w:hint="eastAsia" w:ascii="仿宋_GB2312" w:hAnsi="等线" w:eastAsia="仿宋_GB2312"/>
                <w:color w:val="000000"/>
              </w:rPr>
              <w:t xml:space="preserve">3.5.1 </w:t>
            </w:r>
            <w:r>
              <w:rPr>
                <w:rFonts w:hint="eastAsia"/>
                <w:color w:val="000000"/>
              </w:rPr>
              <w:t>能够向特定客户进行黄金产品的营销，并且为其合理配置黄金产品。</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42E15C7">
            <w:pPr>
              <w:jc w:val="center"/>
              <w:rPr>
                <w:rFonts w:hint="eastAsia" w:ascii="等线" w:hAnsi="等线" w:eastAsia="等线"/>
                <w:color w:val="000000"/>
                <w:sz w:val="22"/>
              </w:rPr>
            </w:pPr>
            <w:r>
              <w:rPr>
                <w:rFonts w:hint="eastAsia" w:ascii="等线" w:hAnsi="等线" w:eastAsia="等线"/>
                <w:color w:val="000000"/>
                <w:sz w:val="22"/>
              </w:rPr>
              <w:t>金融产品营销、黄金与外汇投资，及期货衍生品与私募股权营销、黄金产品合理配置、跨产品营销策略、客户定制化配置知识要求。</w:t>
            </w:r>
          </w:p>
        </w:tc>
      </w:tr>
      <w:tr w14:paraId="50528F2D">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8C117E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2BEC92A">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C383EB4">
            <w:pPr>
              <w:rPr>
                <w:rFonts w:hint="eastAsia" w:ascii="仿宋_GB2312" w:hAnsi="等线" w:eastAsia="仿宋_GB2312"/>
                <w:color w:val="000000"/>
              </w:rPr>
            </w:pPr>
            <w:r>
              <w:rPr>
                <w:rFonts w:hint="eastAsia" w:ascii="仿宋_GB2312" w:hAnsi="等线" w:eastAsia="仿宋_GB2312"/>
                <w:color w:val="000000"/>
              </w:rPr>
              <w:t xml:space="preserve">3.5.2 </w:t>
            </w:r>
            <w:r>
              <w:rPr>
                <w:rFonts w:hint="eastAsia"/>
                <w:color w:val="000000"/>
              </w:rPr>
              <w:t>能够向特定客户进行外汇产品的营销，并且为其合理配置黄金产品。</w:t>
            </w:r>
          </w:p>
        </w:tc>
        <w:tc>
          <w:tcPr>
            <w:tcW w:w="0" w:type="auto"/>
            <w:vMerge w:val="continue"/>
            <w:tcBorders>
              <w:top w:val="nil"/>
              <w:left w:val="single" w:color="auto" w:sz="4" w:space="0"/>
              <w:bottom w:val="single" w:color="auto" w:sz="4" w:space="0"/>
              <w:right w:val="single" w:color="auto" w:sz="4" w:space="0"/>
            </w:tcBorders>
            <w:vAlign w:val="center"/>
          </w:tcPr>
          <w:p w14:paraId="34CA4F57">
            <w:pPr>
              <w:rPr>
                <w:rFonts w:ascii="等线" w:hAnsi="等线" w:eastAsia="等线"/>
                <w:color w:val="000000"/>
                <w:sz w:val="22"/>
              </w:rPr>
            </w:pPr>
          </w:p>
        </w:tc>
      </w:tr>
      <w:tr w14:paraId="25099A9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A4B91A2">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01EB6FE">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55ED82A">
            <w:pPr>
              <w:rPr>
                <w:rFonts w:hint="eastAsia" w:ascii="仿宋_GB2312" w:hAnsi="等线" w:eastAsia="仿宋_GB2312"/>
                <w:color w:val="000000"/>
              </w:rPr>
            </w:pPr>
            <w:r>
              <w:rPr>
                <w:rFonts w:hint="eastAsia" w:ascii="仿宋_GB2312" w:hAnsi="等线" w:eastAsia="仿宋_GB2312"/>
                <w:color w:val="000000"/>
              </w:rPr>
              <w:t xml:space="preserve">3.5.3 </w:t>
            </w:r>
            <w:r>
              <w:rPr>
                <w:rFonts w:hint="eastAsia"/>
                <w:color w:val="000000"/>
              </w:rPr>
              <w:t>能够向特定客户进行期货与衍生品的营销，并且为其合理配置黄金产品。</w:t>
            </w:r>
          </w:p>
        </w:tc>
        <w:tc>
          <w:tcPr>
            <w:tcW w:w="0" w:type="auto"/>
            <w:vMerge w:val="continue"/>
            <w:tcBorders>
              <w:top w:val="nil"/>
              <w:left w:val="single" w:color="auto" w:sz="4" w:space="0"/>
              <w:bottom w:val="single" w:color="auto" w:sz="4" w:space="0"/>
              <w:right w:val="single" w:color="auto" w:sz="4" w:space="0"/>
            </w:tcBorders>
            <w:vAlign w:val="center"/>
          </w:tcPr>
          <w:p w14:paraId="229764FA">
            <w:pPr>
              <w:rPr>
                <w:rFonts w:ascii="等线" w:hAnsi="等线" w:eastAsia="等线"/>
                <w:color w:val="000000"/>
                <w:sz w:val="22"/>
              </w:rPr>
            </w:pPr>
          </w:p>
        </w:tc>
      </w:tr>
      <w:tr w14:paraId="18D5C5C4">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C7D8A6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77332D37">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15A7FCF">
            <w:pPr>
              <w:rPr>
                <w:rFonts w:hint="eastAsia" w:ascii="仿宋_GB2312" w:hAnsi="等线" w:eastAsia="仿宋_GB2312"/>
                <w:color w:val="000000"/>
              </w:rPr>
            </w:pPr>
            <w:r>
              <w:rPr>
                <w:rFonts w:hint="eastAsia" w:ascii="仿宋_GB2312" w:hAnsi="等线" w:eastAsia="仿宋_GB2312"/>
                <w:color w:val="000000"/>
              </w:rPr>
              <w:t xml:space="preserve">3.5.4 </w:t>
            </w:r>
            <w:r>
              <w:rPr>
                <w:rFonts w:hint="eastAsia"/>
                <w:color w:val="000000"/>
              </w:rPr>
              <w:t>能够向特定客户进行私募股权基金产品的营销，并且为其合理配置黄金产品。</w:t>
            </w:r>
          </w:p>
        </w:tc>
        <w:tc>
          <w:tcPr>
            <w:tcW w:w="0" w:type="auto"/>
            <w:vMerge w:val="continue"/>
            <w:tcBorders>
              <w:top w:val="nil"/>
              <w:left w:val="single" w:color="auto" w:sz="4" w:space="0"/>
              <w:bottom w:val="single" w:color="auto" w:sz="4" w:space="0"/>
              <w:right w:val="single" w:color="auto" w:sz="4" w:space="0"/>
            </w:tcBorders>
            <w:vAlign w:val="center"/>
          </w:tcPr>
          <w:p w14:paraId="07E5E02D">
            <w:pPr>
              <w:rPr>
                <w:rFonts w:ascii="等线" w:hAnsi="等线" w:eastAsia="等线"/>
                <w:color w:val="000000"/>
                <w:sz w:val="22"/>
              </w:rPr>
            </w:pPr>
          </w:p>
        </w:tc>
      </w:tr>
      <w:tr w14:paraId="4BCE039A">
        <w:tblPrEx>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C109DA5">
            <w:pPr>
              <w:rPr>
                <w:rFonts w:hint="eastAsia" w:ascii="仿宋_GB2312" w:hAnsi="等线" w:eastAsia="仿宋_GB2312"/>
                <w:color w:val="000000"/>
              </w:rPr>
            </w:pPr>
            <w:r>
              <w:rPr>
                <w:rFonts w:hint="eastAsia" w:ascii="仿宋_GB2312" w:hAnsi="等线" w:eastAsia="仿宋_GB2312"/>
                <w:color w:val="000000"/>
              </w:rPr>
              <w:t>4.</w:t>
            </w:r>
            <w:r>
              <w:rPr>
                <w:rFonts w:hint="eastAsia"/>
                <w:color w:val="000000"/>
              </w:rPr>
              <w:t>理财规划</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47CB64C">
            <w:pPr>
              <w:rPr>
                <w:rFonts w:hint="eastAsia" w:ascii="仿宋_GB2312" w:hAnsi="等线" w:eastAsia="仿宋_GB2312"/>
                <w:color w:val="000000"/>
              </w:rPr>
            </w:pPr>
            <w:r>
              <w:rPr>
                <w:rFonts w:hint="eastAsia" w:ascii="仿宋_GB2312" w:hAnsi="等线" w:eastAsia="仿宋_GB2312"/>
                <w:color w:val="000000"/>
              </w:rPr>
              <w:t xml:space="preserve">4.1 </w:t>
            </w:r>
            <w:r>
              <w:rPr>
                <w:rFonts w:hint="eastAsia"/>
                <w:color w:val="000000"/>
              </w:rPr>
              <w:t>综合理财规划</w:t>
            </w:r>
          </w:p>
        </w:tc>
        <w:tc>
          <w:tcPr>
            <w:tcW w:w="0" w:type="auto"/>
            <w:tcBorders>
              <w:top w:val="nil"/>
              <w:left w:val="nil"/>
              <w:bottom w:val="single" w:color="auto" w:sz="4" w:space="0"/>
              <w:right w:val="single" w:color="auto" w:sz="4" w:space="0"/>
            </w:tcBorders>
            <w:shd w:val="clear" w:color="auto" w:fill="auto"/>
            <w:vAlign w:val="center"/>
          </w:tcPr>
          <w:p w14:paraId="3F6A3A41">
            <w:pPr>
              <w:rPr>
                <w:rFonts w:hint="eastAsia" w:ascii="仿宋_GB2312" w:hAnsi="等线" w:eastAsia="仿宋_GB2312"/>
                <w:color w:val="000000"/>
              </w:rPr>
            </w:pPr>
            <w:r>
              <w:rPr>
                <w:rFonts w:hint="eastAsia" w:ascii="仿宋_GB2312" w:hAnsi="等线" w:eastAsia="仿宋_GB2312"/>
                <w:color w:val="000000"/>
              </w:rPr>
              <w:t xml:space="preserve">4.1.1 </w:t>
            </w:r>
            <w:r>
              <w:rPr>
                <w:rFonts w:hint="eastAsia"/>
                <w:color w:val="000000"/>
              </w:rPr>
              <w:t>掌握投资规划的基本方法。</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6949B5BD">
            <w:pPr>
              <w:jc w:val="center"/>
              <w:rPr>
                <w:rFonts w:hint="eastAsia" w:ascii="等线" w:hAnsi="等线" w:eastAsia="等线"/>
                <w:color w:val="000000"/>
                <w:sz w:val="22"/>
              </w:rPr>
            </w:pPr>
            <w:r>
              <w:rPr>
                <w:rFonts w:hint="eastAsia" w:ascii="等线" w:hAnsi="等线" w:eastAsia="等线"/>
                <w:color w:val="000000"/>
                <w:sz w:val="22"/>
              </w:rPr>
              <w:t>投资规划基础、智能投顾应用，及综合理财产品设计、客户身份与风险评估、产品方案评分与优化、投资规划实操知识要求。</w:t>
            </w:r>
          </w:p>
        </w:tc>
      </w:tr>
      <w:tr w14:paraId="2041EDE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396D1305">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287F8C1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02F4AEB">
            <w:pPr>
              <w:rPr>
                <w:rFonts w:hint="eastAsia" w:ascii="仿宋_GB2312" w:hAnsi="等线" w:eastAsia="仿宋_GB2312"/>
                <w:color w:val="000000"/>
              </w:rPr>
            </w:pPr>
            <w:r>
              <w:rPr>
                <w:rFonts w:hint="eastAsia" w:ascii="仿宋_GB2312" w:hAnsi="等线" w:eastAsia="仿宋_GB2312"/>
                <w:color w:val="000000"/>
              </w:rPr>
              <w:t xml:space="preserve">4.1.2 </w:t>
            </w:r>
            <w:r>
              <w:rPr>
                <w:rFonts w:hint="eastAsia"/>
                <w:color w:val="000000"/>
              </w:rPr>
              <w:t>能够熟练使用智能投顾工具的工具。</w:t>
            </w:r>
          </w:p>
        </w:tc>
        <w:tc>
          <w:tcPr>
            <w:tcW w:w="0" w:type="auto"/>
            <w:vMerge w:val="continue"/>
            <w:tcBorders>
              <w:top w:val="nil"/>
              <w:left w:val="single" w:color="auto" w:sz="4" w:space="0"/>
              <w:bottom w:val="single" w:color="auto" w:sz="4" w:space="0"/>
              <w:right w:val="single" w:color="auto" w:sz="4" w:space="0"/>
            </w:tcBorders>
            <w:vAlign w:val="center"/>
          </w:tcPr>
          <w:p w14:paraId="7159E20D">
            <w:pPr>
              <w:rPr>
                <w:rFonts w:ascii="等线" w:hAnsi="等线" w:eastAsia="等线"/>
                <w:color w:val="000000"/>
                <w:sz w:val="22"/>
              </w:rPr>
            </w:pPr>
          </w:p>
        </w:tc>
      </w:tr>
      <w:tr w14:paraId="23569CAB">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1C50A763">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5D324D17">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DC45A2C">
            <w:pPr>
              <w:rPr>
                <w:rFonts w:hint="eastAsia" w:ascii="仿宋_GB2312" w:hAnsi="等线" w:eastAsia="仿宋_GB2312"/>
                <w:color w:val="000000"/>
              </w:rPr>
            </w:pPr>
            <w:r>
              <w:rPr>
                <w:rFonts w:hint="eastAsia" w:ascii="仿宋_GB2312" w:hAnsi="等线" w:eastAsia="仿宋_GB2312"/>
                <w:color w:val="000000"/>
              </w:rPr>
              <w:t xml:space="preserve">4.1.3 </w:t>
            </w:r>
            <w:r>
              <w:rPr>
                <w:rFonts w:hint="eastAsia"/>
                <w:color w:val="000000"/>
              </w:rPr>
              <w:t>能够对特定身份和特定风险承受能力的客户进行相关综合理财产品规划。</w:t>
            </w:r>
          </w:p>
        </w:tc>
        <w:tc>
          <w:tcPr>
            <w:tcW w:w="0" w:type="auto"/>
            <w:vMerge w:val="continue"/>
            <w:tcBorders>
              <w:top w:val="nil"/>
              <w:left w:val="single" w:color="auto" w:sz="4" w:space="0"/>
              <w:bottom w:val="single" w:color="auto" w:sz="4" w:space="0"/>
              <w:right w:val="single" w:color="auto" w:sz="4" w:space="0"/>
            </w:tcBorders>
            <w:vAlign w:val="center"/>
          </w:tcPr>
          <w:p w14:paraId="20C43CA0">
            <w:pPr>
              <w:rPr>
                <w:rFonts w:ascii="等线" w:hAnsi="等线" w:eastAsia="等线"/>
                <w:color w:val="000000"/>
                <w:sz w:val="22"/>
              </w:rPr>
            </w:pPr>
          </w:p>
        </w:tc>
      </w:tr>
      <w:tr w14:paraId="3155F0CA">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CC51E18">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1204D9E">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0F4E8A82">
            <w:pPr>
              <w:rPr>
                <w:rFonts w:hint="eastAsia" w:ascii="仿宋_GB2312" w:hAnsi="等线" w:eastAsia="仿宋_GB2312"/>
                <w:color w:val="000000"/>
              </w:rPr>
            </w:pPr>
            <w:r>
              <w:rPr>
                <w:rFonts w:hint="eastAsia" w:ascii="仿宋_GB2312" w:hAnsi="等线" w:eastAsia="仿宋_GB2312"/>
                <w:color w:val="000000"/>
              </w:rPr>
              <w:t xml:space="preserve">4.1.4 </w:t>
            </w:r>
            <w:r>
              <w:rPr>
                <w:rFonts w:hint="eastAsia"/>
                <w:color w:val="000000"/>
              </w:rPr>
              <w:t>能够对客户已经配置的产品方案进行评分和评估并且进行优化和改进。</w:t>
            </w:r>
          </w:p>
        </w:tc>
        <w:tc>
          <w:tcPr>
            <w:tcW w:w="0" w:type="auto"/>
            <w:vMerge w:val="continue"/>
            <w:tcBorders>
              <w:top w:val="nil"/>
              <w:left w:val="single" w:color="auto" w:sz="4" w:space="0"/>
              <w:bottom w:val="single" w:color="auto" w:sz="4" w:space="0"/>
              <w:right w:val="single" w:color="auto" w:sz="4" w:space="0"/>
            </w:tcBorders>
            <w:vAlign w:val="center"/>
          </w:tcPr>
          <w:p w14:paraId="5324441D">
            <w:pPr>
              <w:rPr>
                <w:rFonts w:ascii="等线" w:hAnsi="等线" w:eastAsia="等线"/>
                <w:color w:val="000000"/>
                <w:sz w:val="22"/>
              </w:rPr>
            </w:pPr>
          </w:p>
        </w:tc>
      </w:tr>
      <w:tr w14:paraId="63D70FD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9035092">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F36CD0E">
            <w:pPr>
              <w:rPr>
                <w:rFonts w:hint="eastAsia" w:ascii="仿宋_GB2312" w:hAnsi="等线" w:eastAsia="仿宋_GB2312"/>
                <w:color w:val="000000"/>
              </w:rPr>
            </w:pPr>
            <w:r>
              <w:rPr>
                <w:rFonts w:hint="eastAsia" w:ascii="仿宋_GB2312" w:hAnsi="等线" w:eastAsia="仿宋_GB2312"/>
                <w:color w:val="000000"/>
              </w:rPr>
              <w:t xml:space="preserve">4.2 </w:t>
            </w:r>
            <w:r>
              <w:rPr>
                <w:rFonts w:hint="eastAsia"/>
                <w:color w:val="000000"/>
              </w:rPr>
              <w:t>综合理财规划案例应用</w:t>
            </w:r>
          </w:p>
        </w:tc>
        <w:tc>
          <w:tcPr>
            <w:tcW w:w="0" w:type="auto"/>
            <w:tcBorders>
              <w:top w:val="nil"/>
              <w:left w:val="nil"/>
              <w:bottom w:val="single" w:color="auto" w:sz="4" w:space="0"/>
              <w:right w:val="single" w:color="auto" w:sz="4" w:space="0"/>
            </w:tcBorders>
            <w:shd w:val="clear" w:color="auto" w:fill="auto"/>
            <w:vAlign w:val="center"/>
          </w:tcPr>
          <w:p w14:paraId="146547AA">
            <w:pPr>
              <w:rPr>
                <w:rFonts w:hint="eastAsia" w:ascii="仿宋_GB2312" w:hAnsi="等线" w:eastAsia="仿宋_GB2312"/>
                <w:color w:val="000000"/>
              </w:rPr>
            </w:pPr>
            <w:r>
              <w:rPr>
                <w:rFonts w:hint="eastAsia" w:ascii="仿宋_GB2312" w:hAnsi="等线" w:eastAsia="仿宋_GB2312"/>
                <w:color w:val="000000"/>
              </w:rPr>
              <w:t xml:space="preserve">4.2.1 </w:t>
            </w:r>
            <w:r>
              <w:rPr>
                <w:rFonts w:hint="eastAsia"/>
                <w:color w:val="000000"/>
              </w:rPr>
              <w:t>对于基本案例进行优化建议。</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0C7AF35E">
            <w:pPr>
              <w:jc w:val="center"/>
              <w:rPr>
                <w:rFonts w:hint="eastAsia" w:ascii="等线" w:hAnsi="等线" w:eastAsia="等线"/>
                <w:color w:val="000000"/>
                <w:sz w:val="22"/>
              </w:rPr>
            </w:pPr>
            <w:r>
              <w:rPr>
                <w:rFonts w:hint="eastAsia" w:ascii="等线" w:hAnsi="等线" w:eastAsia="等线"/>
                <w:color w:val="000000"/>
                <w:sz w:val="22"/>
              </w:rPr>
              <w:t>案例分析与优化、风险评估与管理，及已配置产品管理、投资建议与营销、特定客户理财规划、综合理财方案设计知识要求。</w:t>
            </w:r>
          </w:p>
        </w:tc>
      </w:tr>
      <w:tr w14:paraId="546D3C10">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4C88DD17">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9969798">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1426CB2">
            <w:pPr>
              <w:rPr>
                <w:rFonts w:hint="eastAsia" w:ascii="仿宋_GB2312" w:hAnsi="等线" w:eastAsia="仿宋_GB2312"/>
                <w:color w:val="000000"/>
              </w:rPr>
            </w:pPr>
            <w:r>
              <w:rPr>
                <w:rFonts w:hint="eastAsia" w:ascii="仿宋_GB2312" w:hAnsi="等线" w:eastAsia="仿宋_GB2312"/>
                <w:color w:val="000000"/>
              </w:rPr>
              <w:t xml:space="preserve">4.2.2 </w:t>
            </w:r>
            <w:r>
              <w:rPr>
                <w:rFonts w:hint="eastAsia"/>
                <w:color w:val="000000"/>
              </w:rPr>
              <w:t>对于基本案例进行风险评估并且设计方案规避风险。</w:t>
            </w:r>
          </w:p>
        </w:tc>
        <w:tc>
          <w:tcPr>
            <w:tcW w:w="0" w:type="auto"/>
            <w:vMerge w:val="continue"/>
            <w:tcBorders>
              <w:top w:val="nil"/>
              <w:left w:val="single" w:color="auto" w:sz="4" w:space="0"/>
              <w:bottom w:val="single" w:color="auto" w:sz="4" w:space="0"/>
              <w:right w:val="single" w:color="auto" w:sz="4" w:space="0"/>
            </w:tcBorders>
            <w:vAlign w:val="center"/>
          </w:tcPr>
          <w:p w14:paraId="4C50D7A2">
            <w:pPr>
              <w:rPr>
                <w:rFonts w:ascii="等线" w:hAnsi="等线" w:eastAsia="等线"/>
                <w:color w:val="000000"/>
                <w:sz w:val="22"/>
              </w:rPr>
            </w:pPr>
          </w:p>
        </w:tc>
      </w:tr>
      <w:tr w14:paraId="082C562F">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7DA62653">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6A19294C">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2523F38">
            <w:pPr>
              <w:rPr>
                <w:rFonts w:hint="eastAsia" w:ascii="仿宋_GB2312" w:hAnsi="等线" w:eastAsia="仿宋_GB2312"/>
                <w:color w:val="000000"/>
              </w:rPr>
            </w:pPr>
            <w:r>
              <w:rPr>
                <w:rFonts w:hint="eastAsia" w:ascii="仿宋_GB2312" w:hAnsi="等线" w:eastAsia="仿宋_GB2312"/>
                <w:color w:val="000000"/>
              </w:rPr>
              <w:t xml:space="preserve">4.2.3 </w:t>
            </w:r>
            <w:r>
              <w:rPr>
                <w:rFonts w:hint="eastAsia"/>
                <w:color w:val="000000"/>
              </w:rPr>
              <w:t>对于已配置产品进行管理完善的投资建议，并且积极营销客户。</w:t>
            </w:r>
          </w:p>
        </w:tc>
        <w:tc>
          <w:tcPr>
            <w:tcW w:w="0" w:type="auto"/>
            <w:vMerge w:val="continue"/>
            <w:tcBorders>
              <w:top w:val="nil"/>
              <w:left w:val="single" w:color="auto" w:sz="4" w:space="0"/>
              <w:bottom w:val="single" w:color="auto" w:sz="4" w:space="0"/>
              <w:right w:val="single" w:color="auto" w:sz="4" w:space="0"/>
            </w:tcBorders>
            <w:vAlign w:val="center"/>
          </w:tcPr>
          <w:p w14:paraId="085035CB">
            <w:pPr>
              <w:rPr>
                <w:rFonts w:ascii="等线" w:hAnsi="等线" w:eastAsia="等线"/>
                <w:color w:val="000000"/>
                <w:sz w:val="22"/>
              </w:rPr>
            </w:pPr>
          </w:p>
        </w:tc>
      </w:tr>
      <w:tr w14:paraId="7F51E062">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7F30DB6">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261C148">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B40A98A">
            <w:pPr>
              <w:rPr>
                <w:rFonts w:hint="eastAsia" w:ascii="仿宋_GB2312" w:hAnsi="等线" w:eastAsia="仿宋_GB2312"/>
                <w:color w:val="000000"/>
              </w:rPr>
            </w:pPr>
            <w:r>
              <w:rPr>
                <w:rFonts w:hint="eastAsia" w:ascii="仿宋_GB2312" w:hAnsi="等线" w:eastAsia="仿宋_GB2312"/>
                <w:color w:val="000000"/>
              </w:rPr>
              <w:t xml:space="preserve">4.2.4 </w:t>
            </w:r>
            <w:r>
              <w:rPr>
                <w:rFonts w:hint="eastAsia"/>
                <w:color w:val="000000"/>
              </w:rPr>
              <w:t>针对特定客户设计综合理财规划方案。</w:t>
            </w:r>
          </w:p>
        </w:tc>
        <w:tc>
          <w:tcPr>
            <w:tcW w:w="0" w:type="auto"/>
            <w:vMerge w:val="continue"/>
            <w:tcBorders>
              <w:top w:val="nil"/>
              <w:left w:val="single" w:color="auto" w:sz="4" w:space="0"/>
              <w:bottom w:val="single" w:color="auto" w:sz="4" w:space="0"/>
              <w:right w:val="single" w:color="auto" w:sz="4" w:space="0"/>
            </w:tcBorders>
            <w:vAlign w:val="center"/>
          </w:tcPr>
          <w:p w14:paraId="2AB510CA">
            <w:pPr>
              <w:rPr>
                <w:rFonts w:ascii="等线" w:hAnsi="等线" w:eastAsia="等线"/>
                <w:color w:val="000000"/>
                <w:sz w:val="22"/>
              </w:rPr>
            </w:pPr>
          </w:p>
        </w:tc>
      </w:tr>
      <w:tr w14:paraId="7DFD0198">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31A08FD">
            <w:pPr>
              <w:rPr>
                <w:rFonts w:ascii="仿宋_GB2312" w:hAnsi="等线" w:eastAsia="仿宋_GB2312"/>
                <w:color w:val="000000"/>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18D78F47">
            <w:pPr>
              <w:rPr>
                <w:rFonts w:hint="eastAsia" w:ascii="仿宋_GB2312" w:hAnsi="等线" w:eastAsia="仿宋_GB2312"/>
                <w:color w:val="000000"/>
              </w:rPr>
            </w:pPr>
            <w:r>
              <w:rPr>
                <w:rFonts w:hint="eastAsia" w:ascii="仿宋_GB2312" w:hAnsi="等线" w:eastAsia="仿宋_GB2312"/>
                <w:color w:val="000000"/>
              </w:rPr>
              <w:t xml:space="preserve">4.3 </w:t>
            </w:r>
            <w:r>
              <w:rPr>
                <w:rFonts w:hint="eastAsia"/>
                <w:color w:val="000000"/>
              </w:rPr>
              <w:t>智能投顾工具理财规划</w:t>
            </w:r>
          </w:p>
        </w:tc>
        <w:tc>
          <w:tcPr>
            <w:tcW w:w="0" w:type="auto"/>
            <w:tcBorders>
              <w:top w:val="nil"/>
              <w:left w:val="nil"/>
              <w:bottom w:val="single" w:color="auto" w:sz="4" w:space="0"/>
              <w:right w:val="single" w:color="auto" w:sz="4" w:space="0"/>
            </w:tcBorders>
            <w:shd w:val="clear" w:color="auto" w:fill="auto"/>
            <w:vAlign w:val="center"/>
          </w:tcPr>
          <w:p w14:paraId="20A06792">
            <w:pPr>
              <w:rPr>
                <w:rFonts w:hint="eastAsia" w:ascii="仿宋_GB2312" w:hAnsi="等线" w:eastAsia="仿宋_GB2312"/>
                <w:color w:val="000000"/>
              </w:rPr>
            </w:pPr>
            <w:r>
              <w:rPr>
                <w:rFonts w:hint="eastAsia" w:ascii="仿宋_GB2312" w:hAnsi="等线" w:eastAsia="仿宋_GB2312"/>
                <w:color w:val="000000"/>
              </w:rPr>
              <w:t xml:space="preserve">4.3.1 </w:t>
            </w:r>
            <w:r>
              <w:rPr>
                <w:rFonts w:hint="eastAsia"/>
                <w:color w:val="000000"/>
              </w:rPr>
              <w:t>能够通过各类智能投顾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）向客户提供投资规划和资产配置建议书。</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44B20F2D">
            <w:pPr>
              <w:jc w:val="center"/>
              <w:rPr>
                <w:rFonts w:hint="eastAsia" w:ascii="等线" w:hAnsi="等线" w:eastAsia="等线"/>
                <w:color w:val="000000"/>
                <w:sz w:val="22"/>
              </w:rPr>
            </w:pPr>
            <w:r>
              <w:rPr>
                <w:rFonts w:hint="eastAsia" w:ascii="等线" w:hAnsi="等线" w:eastAsia="等线"/>
                <w:color w:val="000000"/>
                <w:sz w:val="22"/>
              </w:rPr>
              <w:t>投资与保障规划，资产配置建议书撰写、风险优化策略、保障方案结构设计、智能投顾工具实操知识要求。</w:t>
            </w:r>
          </w:p>
        </w:tc>
      </w:tr>
      <w:tr w14:paraId="613426B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6E3312A9">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385FD3B5">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4F499966">
            <w:pPr>
              <w:rPr>
                <w:rFonts w:hint="eastAsia" w:ascii="仿宋_GB2312" w:hAnsi="等线" w:eastAsia="仿宋_GB2312"/>
                <w:color w:val="000000"/>
              </w:rPr>
            </w:pPr>
            <w:r>
              <w:rPr>
                <w:rFonts w:hint="eastAsia" w:ascii="仿宋_GB2312" w:hAnsi="等线" w:eastAsia="仿宋_GB2312"/>
                <w:color w:val="000000"/>
              </w:rPr>
              <w:t xml:space="preserve">4.3.2 </w:t>
            </w:r>
            <w:r>
              <w:rPr>
                <w:rFonts w:hint="eastAsia"/>
                <w:color w:val="000000"/>
              </w:rPr>
              <w:t>能够通过各类智能投顾</w:t>
            </w:r>
            <w:r>
              <w:rPr>
                <w:rFonts w:hint="eastAsia" w:ascii="仿宋_GB2312" w:hAnsi="等线" w:eastAsia="仿宋_GB2312"/>
                <w:color w:val="000000"/>
              </w:rPr>
              <w:t>APP</w:t>
            </w:r>
            <w:r>
              <w:rPr>
                <w:rFonts w:hint="eastAsia"/>
                <w:color w:val="000000"/>
              </w:rPr>
              <w:t>（如理财师</w:t>
            </w:r>
            <w:r>
              <w:rPr>
                <w:rFonts w:hint="eastAsia" w:ascii="仿宋_GB2312" w:hAnsi="等线" w:eastAsia="仿宋_GB2312"/>
                <w:color w:val="000000"/>
              </w:rPr>
              <w:t>APP</w:t>
            </w:r>
            <w:r>
              <w:rPr>
                <w:rFonts w:hint="eastAsia"/>
                <w:color w:val="000000"/>
              </w:rPr>
              <w:t>）向客户提供保障规划和资产配置建议书。</w:t>
            </w:r>
          </w:p>
        </w:tc>
        <w:tc>
          <w:tcPr>
            <w:tcW w:w="0" w:type="auto"/>
            <w:vMerge w:val="continue"/>
            <w:tcBorders>
              <w:top w:val="nil"/>
              <w:left w:val="single" w:color="auto" w:sz="4" w:space="0"/>
              <w:bottom w:val="single" w:color="auto" w:sz="4" w:space="0"/>
              <w:right w:val="single" w:color="auto" w:sz="4" w:space="0"/>
            </w:tcBorders>
            <w:vAlign w:val="center"/>
          </w:tcPr>
          <w:p w14:paraId="558EC54E">
            <w:pPr>
              <w:rPr>
                <w:rFonts w:ascii="等线" w:hAnsi="等线" w:eastAsia="等线"/>
                <w:color w:val="000000"/>
                <w:sz w:val="22"/>
              </w:rPr>
            </w:pPr>
          </w:p>
        </w:tc>
      </w:tr>
      <w:tr w14:paraId="11A86956">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28BE0B1B">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1DBCCF5F">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6F6C2AB4">
            <w:pPr>
              <w:rPr>
                <w:rFonts w:hint="eastAsia" w:ascii="仿宋_GB2312" w:hAnsi="等线" w:eastAsia="仿宋_GB2312"/>
                <w:color w:val="000000"/>
              </w:rPr>
            </w:pPr>
            <w:r>
              <w:rPr>
                <w:rFonts w:hint="eastAsia" w:ascii="仿宋_GB2312" w:hAnsi="等线" w:eastAsia="仿宋_GB2312"/>
                <w:color w:val="000000"/>
              </w:rPr>
              <w:t xml:space="preserve">4.3.3 </w:t>
            </w:r>
            <w:r>
              <w:rPr>
                <w:rFonts w:hint="eastAsia"/>
                <w:color w:val="000000"/>
              </w:rPr>
              <w:t>能够基于投资规划方案进行风险优化。</w:t>
            </w:r>
          </w:p>
        </w:tc>
        <w:tc>
          <w:tcPr>
            <w:tcW w:w="0" w:type="auto"/>
            <w:vMerge w:val="continue"/>
            <w:tcBorders>
              <w:top w:val="nil"/>
              <w:left w:val="single" w:color="auto" w:sz="4" w:space="0"/>
              <w:bottom w:val="single" w:color="auto" w:sz="4" w:space="0"/>
              <w:right w:val="single" w:color="auto" w:sz="4" w:space="0"/>
            </w:tcBorders>
            <w:vAlign w:val="center"/>
          </w:tcPr>
          <w:p w14:paraId="23AF2843">
            <w:pPr>
              <w:rPr>
                <w:rFonts w:ascii="等线" w:hAnsi="等线" w:eastAsia="等线"/>
                <w:color w:val="000000"/>
                <w:sz w:val="22"/>
              </w:rPr>
            </w:pPr>
          </w:p>
        </w:tc>
      </w:tr>
      <w:tr w14:paraId="5BCFF525">
        <w:tblPrEx>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vAlign w:val="center"/>
          </w:tcPr>
          <w:p w14:paraId="04DDB74D">
            <w:pPr>
              <w:rPr>
                <w:rFonts w:ascii="仿宋_GB2312" w:hAnsi="等线" w:eastAsia="仿宋_GB2312"/>
                <w:color w:val="000000"/>
              </w:rPr>
            </w:pPr>
          </w:p>
        </w:tc>
        <w:tc>
          <w:tcPr>
            <w:tcW w:w="0" w:type="auto"/>
            <w:vMerge w:val="continue"/>
            <w:tcBorders>
              <w:top w:val="nil"/>
              <w:left w:val="single" w:color="auto" w:sz="4" w:space="0"/>
              <w:bottom w:val="single" w:color="auto" w:sz="4" w:space="0"/>
              <w:right w:val="single" w:color="auto" w:sz="4" w:space="0"/>
            </w:tcBorders>
            <w:vAlign w:val="center"/>
          </w:tcPr>
          <w:p w14:paraId="48CDBB25">
            <w:pPr>
              <w:rPr>
                <w:rFonts w:ascii="仿宋_GB2312" w:hAnsi="等线" w:eastAsia="仿宋_GB2312"/>
                <w:color w:val="000000"/>
              </w:rPr>
            </w:pPr>
          </w:p>
        </w:tc>
        <w:tc>
          <w:tcPr>
            <w:tcW w:w="0" w:type="auto"/>
            <w:tcBorders>
              <w:top w:val="nil"/>
              <w:left w:val="nil"/>
              <w:bottom w:val="single" w:color="auto" w:sz="4" w:space="0"/>
              <w:right w:val="single" w:color="auto" w:sz="4" w:space="0"/>
            </w:tcBorders>
            <w:shd w:val="clear" w:color="auto" w:fill="auto"/>
            <w:vAlign w:val="center"/>
          </w:tcPr>
          <w:p w14:paraId="179160CC">
            <w:pPr>
              <w:rPr>
                <w:rFonts w:hint="eastAsia" w:ascii="仿宋_GB2312" w:hAnsi="等线" w:eastAsia="仿宋_GB2312"/>
                <w:color w:val="000000"/>
              </w:rPr>
            </w:pPr>
            <w:r>
              <w:rPr>
                <w:rFonts w:hint="eastAsia" w:ascii="仿宋_GB2312" w:hAnsi="等线" w:eastAsia="仿宋_GB2312"/>
                <w:color w:val="000000"/>
              </w:rPr>
              <w:t xml:space="preserve">4.3.4 </w:t>
            </w:r>
            <w:r>
              <w:rPr>
                <w:rFonts w:hint="eastAsia"/>
                <w:color w:val="000000"/>
              </w:rPr>
              <w:t>能够基于保障规划方案进行结构优化。</w:t>
            </w:r>
          </w:p>
        </w:tc>
        <w:tc>
          <w:tcPr>
            <w:tcW w:w="0" w:type="auto"/>
            <w:vMerge w:val="continue"/>
            <w:tcBorders>
              <w:top w:val="nil"/>
              <w:left w:val="single" w:color="auto" w:sz="4" w:space="0"/>
              <w:bottom w:val="single" w:color="auto" w:sz="4" w:space="0"/>
              <w:right w:val="single" w:color="auto" w:sz="4" w:space="0"/>
            </w:tcBorders>
            <w:vAlign w:val="center"/>
          </w:tcPr>
          <w:p w14:paraId="3F3B2A3B">
            <w:pPr>
              <w:rPr>
                <w:rFonts w:ascii="等线" w:hAnsi="等线" w:eastAsia="等线"/>
                <w:color w:val="000000"/>
                <w:sz w:val="22"/>
              </w:rPr>
            </w:pPr>
          </w:p>
        </w:tc>
      </w:tr>
    </w:tbl>
    <w:p w14:paraId="51C18D03">
      <w:pPr>
        <w:pStyle w:val="16"/>
        <w:ind w:firstLine="400"/>
      </w:pPr>
    </w:p>
    <w:p w14:paraId="4D07A731">
      <w:pPr>
        <w:snapToGrid w:val="0"/>
        <w:spacing w:line="600" w:lineRule="exact"/>
        <w:jc w:val="center"/>
        <w:rPr>
          <w:rFonts w:hint="eastAsia"/>
        </w:rPr>
      </w:pPr>
      <w:r>
        <w:rPr>
          <w:rFonts w:hint="eastAsia" w:ascii="黑体" w:hAnsi="黑体" w:eastAsia="黑体"/>
        </w:rPr>
        <w:t>表4 权重表</w:t>
      </w:r>
    </w:p>
    <w:tbl>
      <w:tblPr>
        <w:tblStyle w:val="9"/>
        <w:tblW w:w="8100" w:type="dxa"/>
        <w:tblInd w:w="0" w:type="dxa"/>
        <w:tblLayout w:type="autofit"/>
        <w:tblCellMar>
          <w:top w:w="0" w:type="dxa"/>
          <w:left w:w="108" w:type="dxa"/>
          <w:bottom w:w="0" w:type="dxa"/>
          <w:right w:w="108" w:type="dxa"/>
        </w:tblCellMar>
      </w:tblPr>
      <w:tblGrid>
        <w:gridCol w:w="5120"/>
        <w:gridCol w:w="2980"/>
      </w:tblGrid>
      <w:tr w14:paraId="16EF6166">
        <w:tblPrEx>
          <w:tblCellMar>
            <w:top w:w="0" w:type="dxa"/>
            <w:left w:w="108" w:type="dxa"/>
            <w:bottom w:w="0" w:type="dxa"/>
            <w:right w:w="108" w:type="dxa"/>
          </w:tblCellMar>
        </w:tblPrEx>
        <w:trPr>
          <w:trHeight w:val="375" w:hRule="atLeast"/>
        </w:trPr>
        <w:tc>
          <w:tcPr>
            <w:tcW w:w="810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3760C842">
            <w:pPr>
              <w:jc w:val="center"/>
              <w:rPr>
                <w:b/>
                <w:bCs/>
                <w:color w:val="000000"/>
              </w:rPr>
            </w:pPr>
            <w:r>
              <w:rPr>
                <w:rFonts w:hint="eastAsia"/>
                <w:b/>
                <w:bCs/>
                <w:color w:val="000000"/>
              </w:rPr>
              <w:t>初级</w:t>
            </w:r>
          </w:p>
        </w:tc>
      </w:tr>
      <w:tr w14:paraId="451204DE">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78783C3A">
            <w:pPr>
              <w:jc w:val="center"/>
              <w:rPr>
                <w:rFonts w:hint="eastAsia"/>
                <w:b/>
                <w:bCs/>
                <w:color w:val="000000"/>
              </w:rPr>
            </w:pPr>
            <w:r>
              <w:rPr>
                <w:rFonts w:hint="eastAsia"/>
                <w:b/>
                <w:bCs/>
                <w:color w:val="000000"/>
              </w:rPr>
              <w:t>工作任务</w:t>
            </w:r>
          </w:p>
        </w:tc>
        <w:tc>
          <w:tcPr>
            <w:tcW w:w="2980" w:type="dxa"/>
            <w:tcBorders>
              <w:top w:val="nil"/>
              <w:left w:val="nil"/>
              <w:bottom w:val="single" w:color="auto" w:sz="4" w:space="0"/>
              <w:right w:val="single" w:color="auto" w:sz="4" w:space="0"/>
            </w:tcBorders>
            <w:shd w:val="clear" w:color="auto" w:fill="auto"/>
            <w:vAlign w:val="center"/>
          </w:tcPr>
          <w:p w14:paraId="37AB636C">
            <w:pPr>
              <w:jc w:val="center"/>
              <w:rPr>
                <w:rFonts w:hint="eastAsia"/>
                <w:b/>
                <w:bCs/>
                <w:color w:val="000000"/>
              </w:rPr>
            </w:pPr>
            <w:r>
              <w:rPr>
                <w:rFonts w:hint="eastAsia"/>
                <w:b/>
                <w:bCs/>
                <w:color w:val="000000"/>
              </w:rPr>
              <w:t>权重（%）</w:t>
            </w:r>
          </w:p>
        </w:tc>
      </w:tr>
      <w:tr w14:paraId="065320F4">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5F51A24C">
            <w:pPr>
              <w:jc w:val="center"/>
              <w:rPr>
                <w:rFonts w:hint="eastAsia"/>
                <w:color w:val="000000"/>
              </w:rPr>
            </w:pPr>
            <w:r>
              <w:rPr>
                <w:rFonts w:hint="eastAsia"/>
                <w:color w:val="000000"/>
              </w:rPr>
              <w:t>1.1 金融科技投研</w:t>
            </w:r>
          </w:p>
        </w:tc>
        <w:tc>
          <w:tcPr>
            <w:tcW w:w="2980" w:type="dxa"/>
            <w:tcBorders>
              <w:top w:val="nil"/>
              <w:left w:val="nil"/>
              <w:bottom w:val="single" w:color="auto" w:sz="4" w:space="0"/>
              <w:right w:val="single" w:color="auto" w:sz="4" w:space="0"/>
            </w:tcBorders>
            <w:shd w:val="clear" w:color="auto" w:fill="auto"/>
            <w:noWrap/>
            <w:vAlign w:val="center"/>
          </w:tcPr>
          <w:p w14:paraId="59CC1BCB">
            <w:pPr>
              <w:jc w:val="center"/>
              <w:rPr>
                <w:rFonts w:hint="eastAsia"/>
                <w:color w:val="000000"/>
              </w:rPr>
            </w:pPr>
            <w:r>
              <w:rPr>
                <w:rFonts w:hint="eastAsia"/>
                <w:color w:val="000000"/>
              </w:rPr>
              <w:t>10%</w:t>
            </w:r>
          </w:p>
        </w:tc>
      </w:tr>
      <w:tr w14:paraId="7DB383FC">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3E23DAD3">
            <w:pPr>
              <w:jc w:val="center"/>
              <w:rPr>
                <w:rFonts w:hint="eastAsia"/>
                <w:color w:val="000000"/>
              </w:rPr>
            </w:pPr>
            <w:r>
              <w:rPr>
                <w:rFonts w:hint="eastAsia"/>
                <w:color w:val="000000"/>
              </w:rPr>
              <w:t>1.2 人工智能投研</w:t>
            </w:r>
          </w:p>
        </w:tc>
        <w:tc>
          <w:tcPr>
            <w:tcW w:w="2980" w:type="dxa"/>
            <w:tcBorders>
              <w:top w:val="nil"/>
              <w:left w:val="nil"/>
              <w:bottom w:val="single" w:color="auto" w:sz="4" w:space="0"/>
              <w:right w:val="single" w:color="auto" w:sz="4" w:space="0"/>
            </w:tcBorders>
            <w:shd w:val="clear" w:color="auto" w:fill="auto"/>
            <w:noWrap/>
            <w:vAlign w:val="center"/>
          </w:tcPr>
          <w:p w14:paraId="008EB49C">
            <w:pPr>
              <w:jc w:val="center"/>
              <w:rPr>
                <w:rFonts w:hint="eastAsia"/>
                <w:color w:val="000000"/>
              </w:rPr>
            </w:pPr>
            <w:r>
              <w:rPr>
                <w:rFonts w:hint="eastAsia"/>
                <w:color w:val="000000"/>
              </w:rPr>
              <w:t>5%</w:t>
            </w:r>
          </w:p>
        </w:tc>
      </w:tr>
      <w:tr w14:paraId="5AB27089">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6ADB470B">
            <w:pPr>
              <w:jc w:val="center"/>
              <w:rPr>
                <w:rFonts w:hint="eastAsia"/>
                <w:color w:val="000000"/>
              </w:rPr>
            </w:pPr>
            <w:r>
              <w:rPr>
                <w:rFonts w:hint="eastAsia"/>
                <w:color w:val="000000"/>
              </w:rPr>
              <w:t>1.3 智能投顾APP使用</w:t>
            </w:r>
          </w:p>
        </w:tc>
        <w:tc>
          <w:tcPr>
            <w:tcW w:w="2980" w:type="dxa"/>
            <w:tcBorders>
              <w:top w:val="nil"/>
              <w:left w:val="nil"/>
              <w:bottom w:val="single" w:color="auto" w:sz="4" w:space="0"/>
              <w:right w:val="single" w:color="auto" w:sz="4" w:space="0"/>
            </w:tcBorders>
            <w:shd w:val="clear" w:color="auto" w:fill="auto"/>
            <w:noWrap/>
            <w:vAlign w:val="center"/>
          </w:tcPr>
          <w:p w14:paraId="794156F8">
            <w:pPr>
              <w:jc w:val="center"/>
              <w:rPr>
                <w:rFonts w:hint="eastAsia"/>
                <w:color w:val="000000"/>
              </w:rPr>
            </w:pPr>
            <w:r>
              <w:rPr>
                <w:rFonts w:hint="eastAsia"/>
                <w:color w:val="000000"/>
              </w:rPr>
              <w:t>10%</w:t>
            </w:r>
          </w:p>
        </w:tc>
      </w:tr>
      <w:tr w14:paraId="5CD98547">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0A942F22">
            <w:pPr>
              <w:jc w:val="center"/>
              <w:rPr>
                <w:rFonts w:hint="eastAsia"/>
                <w:color w:val="000000"/>
              </w:rPr>
            </w:pPr>
            <w:r>
              <w:rPr>
                <w:rFonts w:hint="eastAsia"/>
                <w:color w:val="000000"/>
              </w:rPr>
              <w:t>2.1 证券基础知识初级投研</w:t>
            </w:r>
          </w:p>
        </w:tc>
        <w:tc>
          <w:tcPr>
            <w:tcW w:w="2980" w:type="dxa"/>
            <w:tcBorders>
              <w:top w:val="nil"/>
              <w:left w:val="nil"/>
              <w:bottom w:val="single" w:color="auto" w:sz="4" w:space="0"/>
              <w:right w:val="single" w:color="auto" w:sz="4" w:space="0"/>
            </w:tcBorders>
            <w:shd w:val="clear" w:color="auto" w:fill="auto"/>
            <w:noWrap/>
            <w:vAlign w:val="center"/>
          </w:tcPr>
          <w:p w14:paraId="71E0EC63">
            <w:pPr>
              <w:jc w:val="center"/>
              <w:rPr>
                <w:rFonts w:hint="eastAsia"/>
                <w:color w:val="000000"/>
              </w:rPr>
            </w:pPr>
            <w:r>
              <w:rPr>
                <w:rFonts w:hint="eastAsia"/>
                <w:color w:val="000000"/>
              </w:rPr>
              <w:t>15%</w:t>
            </w:r>
          </w:p>
        </w:tc>
      </w:tr>
      <w:tr w14:paraId="55103574">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1FDAE39D">
            <w:pPr>
              <w:jc w:val="center"/>
              <w:rPr>
                <w:rFonts w:hint="eastAsia"/>
                <w:color w:val="000000"/>
              </w:rPr>
            </w:pPr>
            <w:r>
              <w:rPr>
                <w:rFonts w:hint="eastAsia"/>
                <w:color w:val="000000"/>
              </w:rPr>
              <w:t>2.2 基金基础知识初级投研</w:t>
            </w:r>
          </w:p>
        </w:tc>
        <w:tc>
          <w:tcPr>
            <w:tcW w:w="2980" w:type="dxa"/>
            <w:tcBorders>
              <w:top w:val="nil"/>
              <w:left w:val="nil"/>
              <w:bottom w:val="single" w:color="auto" w:sz="4" w:space="0"/>
              <w:right w:val="single" w:color="auto" w:sz="4" w:space="0"/>
            </w:tcBorders>
            <w:shd w:val="clear" w:color="auto" w:fill="auto"/>
            <w:noWrap/>
            <w:vAlign w:val="center"/>
          </w:tcPr>
          <w:p w14:paraId="2B5ACA50">
            <w:pPr>
              <w:jc w:val="center"/>
              <w:rPr>
                <w:rFonts w:hint="eastAsia"/>
                <w:color w:val="000000"/>
              </w:rPr>
            </w:pPr>
            <w:r>
              <w:rPr>
                <w:rFonts w:hint="eastAsia"/>
                <w:color w:val="000000"/>
              </w:rPr>
              <w:t>15%</w:t>
            </w:r>
          </w:p>
        </w:tc>
      </w:tr>
      <w:tr w14:paraId="4EA166C9">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69DF8D89">
            <w:pPr>
              <w:jc w:val="center"/>
              <w:rPr>
                <w:rFonts w:hint="eastAsia"/>
                <w:color w:val="000000"/>
              </w:rPr>
            </w:pPr>
            <w:r>
              <w:rPr>
                <w:rFonts w:hint="eastAsia"/>
                <w:color w:val="000000"/>
              </w:rPr>
              <w:t>2.3 智能投顾工具基金和证券产品初级投研</w:t>
            </w:r>
          </w:p>
        </w:tc>
        <w:tc>
          <w:tcPr>
            <w:tcW w:w="2980" w:type="dxa"/>
            <w:tcBorders>
              <w:top w:val="nil"/>
              <w:left w:val="nil"/>
              <w:bottom w:val="single" w:color="auto" w:sz="4" w:space="0"/>
              <w:right w:val="single" w:color="auto" w:sz="4" w:space="0"/>
            </w:tcBorders>
            <w:shd w:val="clear" w:color="auto" w:fill="auto"/>
            <w:noWrap/>
            <w:vAlign w:val="center"/>
          </w:tcPr>
          <w:p w14:paraId="4045BE46">
            <w:pPr>
              <w:jc w:val="center"/>
              <w:rPr>
                <w:rFonts w:hint="eastAsia"/>
                <w:color w:val="000000"/>
              </w:rPr>
            </w:pPr>
            <w:r>
              <w:rPr>
                <w:rFonts w:hint="eastAsia"/>
                <w:color w:val="000000"/>
              </w:rPr>
              <w:t>10%</w:t>
            </w:r>
          </w:p>
        </w:tc>
      </w:tr>
      <w:tr w14:paraId="2EECBFB3">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20F10151">
            <w:pPr>
              <w:jc w:val="center"/>
              <w:rPr>
                <w:rFonts w:hint="eastAsia"/>
                <w:color w:val="000000"/>
              </w:rPr>
            </w:pPr>
            <w:r>
              <w:rPr>
                <w:rFonts w:hint="eastAsia"/>
                <w:color w:val="000000"/>
              </w:rPr>
              <w:t>3.1 保险基础知识初级投研</w:t>
            </w:r>
          </w:p>
        </w:tc>
        <w:tc>
          <w:tcPr>
            <w:tcW w:w="2980" w:type="dxa"/>
            <w:tcBorders>
              <w:top w:val="nil"/>
              <w:left w:val="nil"/>
              <w:bottom w:val="single" w:color="auto" w:sz="4" w:space="0"/>
              <w:right w:val="single" w:color="auto" w:sz="4" w:space="0"/>
            </w:tcBorders>
            <w:shd w:val="clear" w:color="auto" w:fill="auto"/>
            <w:noWrap/>
            <w:vAlign w:val="center"/>
          </w:tcPr>
          <w:p w14:paraId="58CC412A">
            <w:pPr>
              <w:jc w:val="center"/>
              <w:rPr>
                <w:rFonts w:hint="eastAsia"/>
                <w:color w:val="000000"/>
              </w:rPr>
            </w:pPr>
            <w:r>
              <w:rPr>
                <w:rFonts w:hint="eastAsia"/>
                <w:color w:val="000000"/>
              </w:rPr>
              <w:t>5%</w:t>
            </w:r>
          </w:p>
        </w:tc>
      </w:tr>
      <w:tr w14:paraId="75818799">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4B830EE4">
            <w:pPr>
              <w:jc w:val="center"/>
              <w:rPr>
                <w:rFonts w:hint="eastAsia"/>
                <w:color w:val="000000"/>
              </w:rPr>
            </w:pPr>
            <w:r>
              <w:rPr>
                <w:rFonts w:hint="eastAsia"/>
                <w:color w:val="000000"/>
              </w:rPr>
              <w:t>3.2 保险投资规划初级投研</w:t>
            </w:r>
          </w:p>
        </w:tc>
        <w:tc>
          <w:tcPr>
            <w:tcW w:w="2980" w:type="dxa"/>
            <w:tcBorders>
              <w:top w:val="nil"/>
              <w:left w:val="nil"/>
              <w:bottom w:val="single" w:color="auto" w:sz="4" w:space="0"/>
              <w:right w:val="single" w:color="auto" w:sz="4" w:space="0"/>
            </w:tcBorders>
            <w:shd w:val="clear" w:color="auto" w:fill="auto"/>
            <w:noWrap/>
            <w:vAlign w:val="center"/>
          </w:tcPr>
          <w:p w14:paraId="7DDF2B00">
            <w:pPr>
              <w:jc w:val="center"/>
              <w:rPr>
                <w:rFonts w:hint="eastAsia"/>
                <w:color w:val="000000"/>
              </w:rPr>
            </w:pPr>
            <w:r>
              <w:rPr>
                <w:rFonts w:hint="eastAsia"/>
                <w:color w:val="000000"/>
              </w:rPr>
              <w:t>5%</w:t>
            </w:r>
          </w:p>
        </w:tc>
      </w:tr>
      <w:tr w14:paraId="7F0E279D">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053BE84E">
            <w:pPr>
              <w:jc w:val="center"/>
              <w:rPr>
                <w:rFonts w:hint="eastAsia"/>
                <w:color w:val="000000"/>
              </w:rPr>
            </w:pPr>
            <w:r>
              <w:rPr>
                <w:rFonts w:hint="eastAsia"/>
                <w:color w:val="000000"/>
              </w:rPr>
              <w:t>3.3 智能投顾工具保险产品初级投研</w:t>
            </w:r>
          </w:p>
        </w:tc>
        <w:tc>
          <w:tcPr>
            <w:tcW w:w="2980" w:type="dxa"/>
            <w:tcBorders>
              <w:top w:val="nil"/>
              <w:left w:val="nil"/>
              <w:bottom w:val="single" w:color="auto" w:sz="4" w:space="0"/>
              <w:right w:val="single" w:color="auto" w:sz="4" w:space="0"/>
            </w:tcBorders>
            <w:shd w:val="clear" w:color="auto" w:fill="auto"/>
            <w:noWrap/>
            <w:vAlign w:val="center"/>
          </w:tcPr>
          <w:p w14:paraId="664BA537">
            <w:pPr>
              <w:jc w:val="center"/>
              <w:rPr>
                <w:rFonts w:hint="eastAsia"/>
                <w:color w:val="000000"/>
              </w:rPr>
            </w:pPr>
            <w:r>
              <w:rPr>
                <w:rFonts w:hint="eastAsia"/>
                <w:color w:val="000000"/>
              </w:rPr>
              <w:t>5%</w:t>
            </w:r>
          </w:p>
        </w:tc>
      </w:tr>
      <w:tr w14:paraId="30F51AE9">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5D129CCE">
            <w:pPr>
              <w:jc w:val="center"/>
              <w:rPr>
                <w:rFonts w:hint="eastAsia"/>
                <w:color w:val="000000"/>
              </w:rPr>
            </w:pPr>
            <w:r>
              <w:rPr>
                <w:rFonts w:hint="eastAsia"/>
                <w:color w:val="000000"/>
              </w:rPr>
              <w:t>4.1 理财产品基础知识初步学习掌握</w:t>
            </w:r>
          </w:p>
        </w:tc>
        <w:tc>
          <w:tcPr>
            <w:tcW w:w="2980" w:type="dxa"/>
            <w:tcBorders>
              <w:top w:val="nil"/>
              <w:left w:val="nil"/>
              <w:bottom w:val="single" w:color="auto" w:sz="4" w:space="0"/>
              <w:right w:val="single" w:color="auto" w:sz="4" w:space="0"/>
            </w:tcBorders>
            <w:shd w:val="clear" w:color="auto" w:fill="auto"/>
            <w:noWrap/>
            <w:vAlign w:val="center"/>
          </w:tcPr>
          <w:p w14:paraId="2E1684E5">
            <w:pPr>
              <w:jc w:val="center"/>
              <w:rPr>
                <w:rFonts w:hint="eastAsia"/>
                <w:color w:val="000000"/>
              </w:rPr>
            </w:pPr>
            <w:r>
              <w:rPr>
                <w:rFonts w:hint="eastAsia"/>
                <w:color w:val="000000"/>
              </w:rPr>
              <w:t>10%</w:t>
            </w:r>
          </w:p>
        </w:tc>
      </w:tr>
      <w:tr w14:paraId="0967DB9C">
        <w:tblPrEx>
          <w:tblCellMar>
            <w:top w:w="0" w:type="dxa"/>
            <w:left w:w="108" w:type="dxa"/>
            <w:bottom w:w="0" w:type="dxa"/>
            <w:right w:w="108" w:type="dxa"/>
          </w:tblCellMar>
        </w:tblPrEx>
        <w:trPr>
          <w:trHeight w:val="37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46162EB1">
            <w:pPr>
              <w:jc w:val="center"/>
              <w:rPr>
                <w:rFonts w:hint="eastAsia"/>
                <w:color w:val="000000"/>
              </w:rPr>
            </w:pPr>
            <w:r>
              <w:rPr>
                <w:rFonts w:hint="eastAsia"/>
                <w:color w:val="000000"/>
              </w:rPr>
              <w:t>4.2 理财规划基础知识初步学习掌握</w:t>
            </w:r>
          </w:p>
        </w:tc>
        <w:tc>
          <w:tcPr>
            <w:tcW w:w="2980" w:type="dxa"/>
            <w:tcBorders>
              <w:top w:val="nil"/>
              <w:left w:val="nil"/>
              <w:bottom w:val="single" w:color="auto" w:sz="4" w:space="0"/>
              <w:right w:val="single" w:color="auto" w:sz="4" w:space="0"/>
            </w:tcBorders>
            <w:shd w:val="clear" w:color="auto" w:fill="auto"/>
            <w:noWrap/>
            <w:vAlign w:val="center"/>
          </w:tcPr>
          <w:p w14:paraId="5C0A122B">
            <w:pPr>
              <w:jc w:val="center"/>
              <w:rPr>
                <w:rFonts w:hint="eastAsia"/>
                <w:color w:val="000000"/>
              </w:rPr>
            </w:pPr>
            <w:r>
              <w:rPr>
                <w:rFonts w:hint="eastAsia"/>
                <w:color w:val="000000"/>
              </w:rPr>
              <w:t>10%</w:t>
            </w:r>
          </w:p>
        </w:tc>
      </w:tr>
      <w:tr w14:paraId="2AAC479C">
        <w:tblPrEx>
          <w:tblCellMar>
            <w:top w:w="0" w:type="dxa"/>
            <w:left w:w="108" w:type="dxa"/>
            <w:bottom w:w="0" w:type="dxa"/>
            <w:right w:w="108" w:type="dxa"/>
          </w:tblCellMar>
        </w:tblPrEx>
        <w:trPr>
          <w:trHeight w:val="285" w:hRule="atLeast"/>
        </w:trPr>
        <w:tc>
          <w:tcPr>
            <w:tcW w:w="5120" w:type="dxa"/>
            <w:tcBorders>
              <w:top w:val="nil"/>
              <w:left w:val="nil"/>
              <w:bottom w:val="nil"/>
              <w:right w:val="nil"/>
            </w:tcBorders>
            <w:shd w:val="clear" w:color="auto" w:fill="auto"/>
            <w:vAlign w:val="center"/>
          </w:tcPr>
          <w:p w14:paraId="706096EF">
            <w:pPr>
              <w:jc w:val="center"/>
              <w:rPr>
                <w:rFonts w:hint="eastAsia"/>
                <w:color w:val="000000"/>
              </w:rPr>
            </w:pPr>
          </w:p>
        </w:tc>
        <w:tc>
          <w:tcPr>
            <w:tcW w:w="2980" w:type="dxa"/>
            <w:tcBorders>
              <w:top w:val="nil"/>
              <w:left w:val="nil"/>
              <w:bottom w:val="nil"/>
              <w:right w:val="nil"/>
            </w:tcBorders>
            <w:shd w:val="clear" w:color="auto" w:fill="auto"/>
            <w:noWrap/>
            <w:vAlign w:val="center"/>
          </w:tcPr>
          <w:p w14:paraId="448B2F8F">
            <w:pPr>
              <w:rPr>
                <w:color w:val="000000"/>
              </w:rPr>
            </w:pPr>
          </w:p>
        </w:tc>
      </w:tr>
      <w:tr w14:paraId="7E7B1376">
        <w:tblPrEx>
          <w:tblCellMar>
            <w:top w:w="0" w:type="dxa"/>
            <w:left w:w="108" w:type="dxa"/>
            <w:bottom w:w="0" w:type="dxa"/>
            <w:right w:w="108" w:type="dxa"/>
          </w:tblCellMar>
        </w:tblPrEx>
        <w:trPr>
          <w:trHeight w:val="285" w:hRule="atLeast"/>
        </w:trPr>
        <w:tc>
          <w:tcPr>
            <w:tcW w:w="8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43EA2A">
            <w:pPr>
              <w:jc w:val="center"/>
              <w:rPr>
                <w:b/>
                <w:bCs/>
                <w:color w:val="000000"/>
              </w:rPr>
            </w:pPr>
            <w:r>
              <w:rPr>
                <w:rFonts w:hint="eastAsia"/>
                <w:b/>
                <w:bCs/>
                <w:color w:val="000000"/>
              </w:rPr>
              <w:t>中级</w:t>
            </w:r>
          </w:p>
        </w:tc>
      </w:tr>
      <w:tr w14:paraId="0AA171F8">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52A69DA3">
            <w:pPr>
              <w:jc w:val="center"/>
              <w:rPr>
                <w:rFonts w:hint="eastAsia"/>
                <w:b/>
                <w:bCs/>
                <w:color w:val="000000"/>
              </w:rPr>
            </w:pPr>
            <w:r>
              <w:rPr>
                <w:rFonts w:hint="eastAsia"/>
                <w:b/>
                <w:bCs/>
                <w:color w:val="000000"/>
              </w:rPr>
              <w:t>工作任务</w:t>
            </w:r>
          </w:p>
        </w:tc>
        <w:tc>
          <w:tcPr>
            <w:tcW w:w="2980" w:type="dxa"/>
            <w:tcBorders>
              <w:top w:val="nil"/>
              <w:left w:val="nil"/>
              <w:bottom w:val="single" w:color="auto" w:sz="4" w:space="0"/>
              <w:right w:val="single" w:color="auto" w:sz="4" w:space="0"/>
            </w:tcBorders>
            <w:shd w:val="clear" w:color="auto" w:fill="auto"/>
            <w:vAlign w:val="center"/>
          </w:tcPr>
          <w:p w14:paraId="5CFA5526">
            <w:pPr>
              <w:jc w:val="center"/>
              <w:rPr>
                <w:rFonts w:hint="eastAsia"/>
                <w:b/>
                <w:bCs/>
                <w:color w:val="000000"/>
              </w:rPr>
            </w:pPr>
            <w:r>
              <w:rPr>
                <w:rFonts w:hint="eastAsia"/>
                <w:b/>
                <w:bCs/>
                <w:color w:val="000000"/>
              </w:rPr>
              <w:t>权重（%）</w:t>
            </w:r>
          </w:p>
        </w:tc>
      </w:tr>
      <w:tr w14:paraId="5A5E8138">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6E9DDE6E">
            <w:pPr>
              <w:jc w:val="center"/>
              <w:rPr>
                <w:rFonts w:hint="eastAsia"/>
                <w:color w:val="000000"/>
              </w:rPr>
            </w:pPr>
            <w:r>
              <w:rPr>
                <w:rFonts w:hint="eastAsia"/>
                <w:color w:val="000000"/>
              </w:rPr>
              <w:t>1.1 客群精准营销</w:t>
            </w:r>
          </w:p>
        </w:tc>
        <w:tc>
          <w:tcPr>
            <w:tcW w:w="2980" w:type="dxa"/>
            <w:tcBorders>
              <w:top w:val="nil"/>
              <w:left w:val="nil"/>
              <w:bottom w:val="single" w:color="auto" w:sz="4" w:space="0"/>
              <w:right w:val="single" w:color="auto" w:sz="4" w:space="0"/>
            </w:tcBorders>
            <w:shd w:val="clear" w:color="auto" w:fill="auto"/>
            <w:noWrap/>
            <w:vAlign w:val="center"/>
          </w:tcPr>
          <w:p w14:paraId="396B09AA">
            <w:pPr>
              <w:jc w:val="center"/>
              <w:rPr>
                <w:rFonts w:hint="eastAsia"/>
                <w:color w:val="000000"/>
              </w:rPr>
            </w:pPr>
            <w:r>
              <w:rPr>
                <w:rFonts w:hint="eastAsia"/>
                <w:color w:val="000000"/>
              </w:rPr>
              <w:t>5%</w:t>
            </w:r>
          </w:p>
        </w:tc>
      </w:tr>
      <w:tr w14:paraId="6E56FF66">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76901F9A">
            <w:pPr>
              <w:jc w:val="center"/>
              <w:rPr>
                <w:rFonts w:hint="eastAsia"/>
                <w:color w:val="000000"/>
              </w:rPr>
            </w:pPr>
            <w:r>
              <w:rPr>
                <w:rFonts w:hint="eastAsia"/>
                <w:color w:val="000000"/>
              </w:rPr>
              <w:t>1.2 智能投顾中级投研</w:t>
            </w:r>
          </w:p>
        </w:tc>
        <w:tc>
          <w:tcPr>
            <w:tcW w:w="2980" w:type="dxa"/>
            <w:tcBorders>
              <w:top w:val="nil"/>
              <w:left w:val="nil"/>
              <w:bottom w:val="single" w:color="auto" w:sz="4" w:space="0"/>
              <w:right w:val="single" w:color="auto" w:sz="4" w:space="0"/>
            </w:tcBorders>
            <w:shd w:val="clear" w:color="auto" w:fill="auto"/>
            <w:noWrap/>
            <w:vAlign w:val="center"/>
          </w:tcPr>
          <w:p w14:paraId="1219441E">
            <w:pPr>
              <w:jc w:val="center"/>
              <w:rPr>
                <w:rFonts w:hint="eastAsia"/>
                <w:color w:val="000000"/>
              </w:rPr>
            </w:pPr>
            <w:r>
              <w:rPr>
                <w:rFonts w:hint="eastAsia"/>
                <w:color w:val="000000"/>
              </w:rPr>
              <w:t>5%</w:t>
            </w:r>
          </w:p>
        </w:tc>
      </w:tr>
      <w:tr w14:paraId="108B5F34">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1A90D75B">
            <w:pPr>
              <w:jc w:val="center"/>
              <w:rPr>
                <w:rFonts w:hint="eastAsia"/>
                <w:color w:val="000000"/>
              </w:rPr>
            </w:pPr>
            <w:r>
              <w:rPr>
                <w:rFonts w:hint="eastAsia"/>
                <w:color w:val="000000"/>
              </w:rPr>
              <w:t>1.3 智能获客和智能客服投研</w:t>
            </w:r>
          </w:p>
        </w:tc>
        <w:tc>
          <w:tcPr>
            <w:tcW w:w="2980" w:type="dxa"/>
            <w:tcBorders>
              <w:top w:val="nil"/>
              <w:left w:val="nil"/>
              <w:bottom w:val="single" w:color="auto" w:sz="4" w:space="0"/>
              <w:right w:val="single" w:color="auto" w:sz="4" w:space="0"/>
            </w:tcBorders>
            <w:shd w:val="clear" w:color="auto" w:fill="auto"/>
            <w:noWrap/>
            <w:vAlign w:val="center"/>
          </w:tcPr>
          <w:p w14:paraId="41A275BB">
            <w:pPr>
              <w:jc w:val="center"/>
              <w:rPr>
                <w:rFonts w:hint="eastAsia"/>
                <w:color w:val="000000"/>
              </w:rPr>
            </w:pPr>
            <w:r>
              <w:rPr>
                <w:rFonts w:hint="eastAsia"/>
                <w:color w:val="000000"/>
              </w:rPr>
              <w:t>10%</w:t>
            </w:r>
          </w:p>
        </w:tc>
      </w:tr>
      <w:tr w14:paraId="52703B35">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4DD00051">
            <w:pPr>
              <w:jc w:val="center"/>
              <w:rPr>
                <w:rFonts w:hint="eastAsia"/>
                <w:color w:val="000000"/>
              </w:rPr>
            </w:pPr>
            <w:r>
              <w:rPr>
                <w:rFonts w:hint="eastAsia"/>
                <w:color w:val="000000"/>
              </w:rPr>
              <w:t>2.1 证券相关中级投研</w:t>
            </w:r>
          </w:p>
        </w:tc>
        <w:tc>
          <w:tcPr>
            <w:tcW w:w="2980" w:type="dxa"/>
            <w:tcBorders>
              <w:top w:val="nil"/>
              <w:left w:val="nil"/>
              <w:bottom w:val="single" w:color="auto" w:sz="4" w:space="0"/>
              <w:right w:val="single" w:color="auto" w:sz="4" w:space="0"/>
            </w:tcBorders>
            <w:shd w:val="clear" w:color="auto" w:fill="auto"/>
            <w:noWrap/>
            <w:vAlign w:val="center"/>
          </w:tcPr>
          <w:p w14:paraId="3FA906A2">
            <w:pPr>
              <w:jc w:val="center"/>
              <w:rPr>
                <w:rFonts w:hint="eastAsia"/>
                <w:color w:val="000000"/>
              </w:rPr>
            </w:pPr>
            <w:r>
              <w:rPr>
                <w:rFonts w:hint="eastAsia"/>
                <w:color w:val="000000"/>
              </w:rPr>
              <w:t>15%</w:t>
            </w:r>
          </w:p>
        </w:tc>
      </w:tr>
      <w:tr w14:paraId="7E3A9856">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369C4F99">
            <w:pPr>
              <w:jc w:val="center"/>
              <w:rPr>
                <w:rFonts w:hint="eastAsia"/>
                <w:color w:val="000000"/>
              </w:rPr>
            </w:pPr>
            <w:r>
              <w:rPr>
                <w:rFonts w:hint="eastAsia"/>
                <w:color w:val="000000"/>
              </w:rPr>
              <w:t>2.2 证券销售中级投研</w:t>
            </w:r>
          </w:p>
        </w:tc>
        <w:tc>
          <w:tcPr>
            <w:tcW w:w="2980" w:type="dxa"/>
            <w:tcBorders>
              <w:top w:val="nil"/>
              <w:left w:val="nil"/>
              <w:bottom w:val="single" w:color="auto" w:sz="4" w:space="0"/>
              <w:right w:val="single" w:color="auto" w:sz="4" w:space="0"/>
            </w:tcBorders>
            <w:shd w:val="clear" w:color="auto" w:fill="auto"/>
            <w:noWrap/>
            <w:vAlign w:val="center"/>
          </w:tcPr>
          <w:p w14:paraId="25A67747">
            <w:pPr>
              <w:jc w:val="center"/>
              <w:rPr>
                <w:rFonts w:hint="eastAsia"/>
                <w:color w:val="000000"/>
              </w:rPr>
            </w:pPr>
            <w:r>
              <w:rPr>
                <w:rFonts w:hint="eastAsia"/>
                <w:color w:val="000000"/>
              </w:rPr>
              <w:t>10%</w:t>
            </w:r>
          </w:p>
        </w:tc>
      </w:tr>
      <w:tr w14:paraId="659F3F3E">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28F30844">
            <w:pPr>
              <w:jc w:val="center"/>
              <w:rPr>
                <w:rFonts w:hint="eastAsia"/>
                <w:color w:val="000000"/>
              </w:rPr>
            </w:pPr>
            <w:r>
              <w:rPr>
                <w:rFonts w:hint="eastAsia"/>
                <w:color w:val="000000"/>
              </w:rPr>
              <w:t>2.3 证券产品中级投研</w:t>
            </w:r>
          </w:p>
        </w:tc>
        <w:tc>
          <w:tcPr>
            <w:tcW w:w="2980" w:type="dxa"/>
            <w:tcBorders>
              <w:top w:val="nil"/>
              <w:left w:val="nil"/>
              <w:bottom w:val="single" w:color="auto" w:sz="4" w:space="0"/>
              <w:right w:val="single" w:color="auto" w:sz="4" w:space="0"/>
            </w:tcBorders>
            <w:shd w:val="clear" w:color="auto" w:fill="auto"/>
            <w:noWrap/>
            <w:vAlign w:val="center"/>
          </w:tcPr>
          <w:p w14:paraId="0E90D746">
            <w:pPr>
              <w:jc w:val="center"/>
              <w:rPr>
                <w:rFonts w:hint="eastAsia"/>
                <w:color w:val="000000"/>
              </w:rPr>
            </w:pPr>
            <w:r>
              <w:rPr>
                <w:rFonts w:hint="eastAsia"/>
                <w:color w:val="000000"/>
              </w:rPr>
              <w:t>10%</w:t>
            </w:r>
          </w:p>
        </w:tc>
      </w:tr>
      <w:tr w14:paraId="086E04DE">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294A0AD0">
            <w:pPr>
              <w:jc w:val="center"/>
              <w:rPr>
                <w:rFonts w:hint="eastAsia"/>
                <w:color w:val="000000"/>
              </w:rPr>
            </w:pPr>
            <w:r>
              <w:rPr>
                <w:rFonts w:hint="eastAsia"/>
                <w:color w:val="000000"/>
              </w:rPr>
              <w:t>3.1 大宗商品中级投研</w:t>
            </w:r>
          </w:p>
        </w:tc>
        <w:tc>
          <w:tcPr>
            <w:tcW w:w="2980" w:type="dxa"/>
            <w:tcBorders>
              <w:top w:val="nil"/>
              <w:left w:val="nil"/>
              <w:bottom w:val="single" w:color="auto" w:sz="4" w:space="0"/>
              <w:right w:val="single" w:color="auto" w:sz="4" w:space="0"/>
            </w:tcBorders>
            <w:shd w:val="clear" w:color="auto" w:fill="auto"/>
            <w:noWrap/>
            <w:vAlign w:val="center"/>
          </w:tcPr>
          <w:p w14:paraId="188D8683">
            <w:pPr>
              <w:jc w:val="center"/>
              <w:rPr>
                <w:rFonts w:hint="eastAsia"/>
                <w:color w:val="000000"/>
              </w:rPr>
            </w:pPr>
            <w:r>
              <w:rPr>
                <w:rFonts w:hint="eastAsia"/>
                <w:color w:val="000000"/>
              </w:rPr>
              <w:t>5%</w:t>
            </w:r>
          </w:p>
        </w:tc>
      </w:tr>
      <w:tr w14:paraId="14E317E0">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7FBD71BE">
            <w:pPr>
              <w:jc w:val="center"/>
              <w:rPr>
                <w:rFonts w:hint="eastAsia"/>
                <w:color w:val="000000"/>
              </w:rPr>
            </w:pPr>
            <w:r>
              <w:rPr>
                <w:rFonts w:hint="eastAsia"/>
                <w:color w:val="000000"/>
              </w:rPr>
              <w:t>3.2 信托产品中级投研</w:t>
            </w:r>
          </w:p>
        </w:tc>
        <w:tc>
          <w:tcPr>
            <w:tcW w:w="2980" w:type="dxa"/>
            <w:tcBorders>
              <w:top w:val="nil"/>
              <w:left w:val="nil"/>
              <w:bottom w:val="single" w:color="auto" w:sz="4" w:space="0"/>
              <w:right w:val="single" w:color="auto" w:sz="4" w:space="0"/>
            </w:tcBorders>
            <w:shd w:val="clear" w:color="auto" w:fill="auto"/>
            <w:noWrap/>
            <w:vAlign w:val="center"/>
          </w:tcPr>
          <w:p w14:paraId="21C16F99">
            <w:pPr>
              <w:jc w:val="center"/>
              <w:rPr>
                <w:rFonts w:hint="eastAsia"/>
                <w:color w:val="000000"/>
              </w:rPr>
            </w:pPr>
            <w:r>
              <w:rPr>
                <w:rFonts w:hint="eastAsia"/>
                <w:color w:val="000000"/>
              </w:rPr>
              <w:t>5%</w:t>
            </w:r>
          </w:p>
        </w:tc>
      </w:tr>
      <w:tr w14:paraId="122278D2">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6717B74D">
            <w:pPr>
              <w:jc w:val="center"/>
              <w:rPr>
                <w:rFonts w:hint="eastAsia"/>
                <w:color w:val="000000"/>
              </w:rPr>
            </w:pPr>
            <w:r>
              <w:rPr>
                <w:rFonts w:hint="eastAsia"/>
                <w:color w:val="000000"/>
              </w:rPr>
              <w:t>3.3 复杂金融产品销售</w:t>
            </w:r>
          </w:p>
        </w:tc>
        <w:tc>
          <w:tcPr>
            <w:tcW w:w="2980" w:type="dxa"/>
            <w:tcBorders>
              <w:top w:val="nil"/>
              <w:left w:val="nil"/>
              <w:bottom w:val="single" w:color="auto" w:sz="4" w:space="0"/>
              <w:right w:val="single" w:color="auto" w:sz="4" w:space="0"/>
            </w:tcBorders>
            <w:shd w:val="clear" w:color="auto" w:fill="auto"/>
            <w:noWrap/>
            <w:vAlign w:val="center"/>
          </w:tcPr>
          <w:p w14:paraId="13DFF764">
            <w:pPr>
              <w:jc w:val="center"/>
              <w:rPr>
                <w:rFonts w:hint="eastAsia"/>
                <w:color w:val="000000"/>
              </w:rPr>
            </w:pPr>
            <w:r>
              <w:rPr>
                <w:rFonts w:hint="eastAsia"/>
                <w:color w:val="000000"/>
              </w:rPr>
              <w:t>5%</w:t>
            </w:r>
          </w:p>
        </w:tc>
      </w:tr>
      <w:tr w14:paraId="2CD2D78B">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4F81BA53">
            <w:pPr>
              <w:jc w:val="center"/>
              <w:rPr>
                <w:rFonts w:hint="eastAsia"/>
                <w:color w:val="000000"/>
              </w:rPr>
            </w:pPr>
            <w:r>
              <w:rPr>
                <w:rFonts w:hint="eastAsia"/>
                <w:color w:val="000000"/>
              </w:rPr>
              <w:t>4.1 单项理财规划</w:t>
            </w:r>
          </w:p>
        </w:tc>
        <w:tc>
          <w:tcPr>
            <w:tcW w:w="2980" w:type="dxa"/>
            <w:tcBorders>
              <w:top w:val="nil"/>
              <w:left w:val="nil"/>
              <w:bottom w:val="single" w:color="auto" w:sz="4" w:space="0"/>
              <w:right w:val="single" w:color="auto" w:sz="4" w:space="0"/>
            </w:tcBorders>
            <w:shd w:val="clear" w:color="auto" w:fill="auto"/>
            <w:noWrap/>
            <w:vAlign w:val="center"/>
          </w:tcPr>
          <w:p w14:paraId="3ED5D82C">
            <w:pPr>
              <w:jc w:val="center"/>
              <w:rPr>
                <w:rFonts w:hint="eastAsia"/>
                <w:color w:val="000000"/>
              </w:rPr>
            </w:pPr>
            <w:r>
              <w:rPr>
                <w:rFonts w:hint="eastAsia"/>
                <w:color w:val="000000"/>
              </w:rPr>
              <w:t>5%</w:t>
            </w:r>
          </w:p>
        </w:tc>
      </w:tr>
      <w:tr w14:paraId="7525333E">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2FA3B4E2">
            <w:pPr>
              <w:jc w:val="center"/>
              <w:rPr>
                <w:rFonts w:hint="eastAsia"/>
                <w:color w:val="000000"/>
              </w:rPr>
            </w:pPr>
            <w:r>
              <w:rPr>
                <w:rFonts w:hint="eastAsia"/>
                <w:color w:val="000000"/>
              </w:rPr>
              <w:t>4.2 单项理财规划评价</w:t>
            </w:r>
          </w:p>
        </w:tc>
        <w:tc>
          <w:tcPr>
            <w:tcW w:w="2980" w:type="dxa"/>
            <w:tcBorders>
              <w:top w:val="nil"/>
              <w:left w:val="nil"/>
              <w:bottom w:val="single" w:color="auto" w:sz="4" w:space="0"/>
              <w:right w:val="single" w:color="auto" w:sz="4" w:space="0"/>
            </w:tcBorders>
            <w:shd w:val="clear" w:color="auto" w:fill="auto"/>
            <w:noWrap/>
            <w:vAlign w:val="center"/>
          </w:tcPr>
          <w:p w14:paraId="365EFD39">
            <w:pPr>
              <w:jc w:val="center"/>
              <w:rPr>
                <w:rFonts w:hint="eastAsia"/>
                <w:color w:val="000000"/>
              </w:rPr>
            </w:pPr>
            <w:r>
              <w:rPr>
                <w:rFonts w:hint="eastAsia"/>
                <w:color w:val="000000"/>
              </w:rPr>
              <w:t>5%</w:t>
            </w:r>
          </w:p>
        </w:tc>
      </w:tr>
      <w:tr w14:paraId="39420809">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2F2BD2ED">
            <w:pPr>
              <w:jc w:val="center"/>
              <w:rPr>
                <w:rFonts w:hint="eastAsia"/>
                <w:color w:val="000000"/>
              </w:rPr>
            </w:pPr>
            <w:r>
              <w:rPr>
                <w:rFonts w:hint="eastAsia"/>
                <w:color w:val="000000"/>
              </w:rPr>
              <w:t>4.3 智能投顾工具理财规划</w:t>
            </w:r>
          </w:p>
        </w:tc>
        <w:tc>
          <w:tcPr>
            <w:tcW w:w="2980" w:type="dxa"/>
            <w:tcBorders>
              <w:top w:val="nil"/>
              <w:left w:val="nil"/>
              <w:bottom w:val="single" w:color="auto" w:sz="4" w:space="0"/>
              <w:right w:val="single" w:color="auto" w:sz="4" w:space="0"/>
            </w:tcBorders>
            <w:shd w:val="clear" w:color="auto" w:fill="auto"/>
            <w:noWrap/>
            <w:vAlign w:val="center"/>
          </w:tcPr>
          <w:p w14:paraId="3F479C40">
            <w:pPr>
              <w:jc w:val="center"/>
              <w:rPr>
                <w:rFonts w:hint="eastAsia"/>
                <w:color w:val="000000"/>
              </w:rPr>
            </w:pPr>
            <w:r>
              <w:rPr>
                <w:rFonts w:hint="eastAsia"/>
                <w:color w:val="000000"/>
              </w:rPr>
              <w:t>20%</w:t>
            </w:r>
          </w:p>
        </w:tc>
      </w:tr>
      <w:tr w14:paraId="0A62BC13">
        <w:tblPrEx>
          <w:tblCellMar>
            <w:top w:w="0" w:type="dxa"/>
            <w:left w:w="108" w:type="dxa"/>
            <w:bottom w:w="0" w:type="dxa"/>
            <w:right w:w="108" w:type="dxa"/>
          </w:tblCellMar>
        </w:tblPrEx>
        <w:trPr>
          <w:trHeight w:val="285" w:hRule="atLeast"/>
        </w:trPr>
        <w:tc>
          <w:tcPr>
            <w:tcW w:w="5120" w:type="dxa"/>
            <w:tcBorders>
              <w:top w:val="nil"/>
              <w:left w:val="nil"/>
              <w:bottom w:val="nil"/>
              <w:right w:val="nil"/>
            </w:tcBorders>
            <w:shd w:val="clear" w:color="auto" w:fill="auto"/>
            <w:noWrap/>
            <w:vAlign w:val="center"/>
          </w:tcPr>
          <w:p w14:paraId="353B115E">
            <w:pPr>
              <w:jc w:val="center"/>
              <w:rPr>
                <w:rFonts w:hint="eastAsia"/>
                <w:color w:val="000000"/>
              </w:rPr>
            </w:pPr>
          </w:p>
        </w:tc>
        <w:tc>
          <w:tcPr>
            <w:tcW w:w="2980" w:type="dxa"/>
            <w:tcBorders>
              <w:top w:val="nil"/>
              <w:left w:val="nil"/>
              <w:bottom w:val="nil"/>
              <w:right w:val="nil"/>
            </w:tcBorders>
            <w:shd w:val="clear" w:color="auto" w:fill="auto"/>
            <w:noWrap/>
            <w:vAlign w:val="center"/>
          </w:tcPr>
          <w:p w14:paraId="361623A8">
            <w:pPr>
              <w:rPr>
                <w:color w:val="000000"/>
              </w:rPr>
            </w:pPr>
          </w:p>
        </w:tc>
      </w:tr>
      <w:tr w14:paraId="11505697">
        <w:tblPrEx>
          <w:tblCellMar>
            <w:top w:w="0" w:type="dxa"/>
            <w:left w:w="108" w:type="dxa"/>
            <w:bottom w:w="0" w:type="dxa"/>
            <w:right w:w="108" w:type="dxa"/>
          </w:tblCellMar>
        </w:tblPrEx>
        <w:trPr>
          <w:trHeight w:val="285" w:hRule="atLeast"/>
        </w:trPr>
        <w:tc>
          <w:tcPr>
            <w:tcW w:w="810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08D5E8CB">
            <w:pPr>
              <w:jc w:val="center"/>
              <w:rPr>
                <w:b/>
                <w:bCs/>
                <w:color w:val="000000"/>
              </w:rPr>
            </w:pPr>
            <w:r>
              <w:rPr>
                <w:rFonts w:hint="eastAsia"/>
                <w:b/>
                <w:bCs/>
                <w:color w:val="000000"/>
              </w:rPr>
              <w:t>高级</w:t>
            </w:r>
          </w:p>
        </w:tc>
      </w:tr>
      <w:tr w14:paraId="61313AB3">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5216A417">
            <w:pPr>
              <w:jc w:val="center"/>
              <w:rPr>
                <w:rFonts w:hint="eastAsia"/>
                <w:b/>
                <w:bCs/>
                <w:color w:val="000000"/>
              </w:rPr>
            </w:pPr>
            <w:r>
              <w:rPr>
                <w:rFonts w:hint="eastAsia"/>
                <w:b/>
                <w:bCs/>
                <w:color w:val="000000"/>
              </w:rPr>
              <w:t>工作任务</w:t>
            </w:r>
          </w:p>
        </w:tc>
        <w:tc>
          <w:tcPr>
            <w:tcW w:w="2980" w:type="dxa"/>
            <w:tcBorders>
              <w:top w:val="nil"/>
              <w:left w:val="nil"/>
              <w:bottom w:val="single" w:color="auto" w:sz="4" w:space="0"/>
              <w:right w:val="single" w:color="auto" w:sz="4" w:space="0"/>
            </w:tcBorders>
            <w:shd w:val="clear" w:color="auto" w:fill="auto"/>
            <w:vAlign w:val="center"/>
          </w:tcPr>
          <w:p w14:paraId="49A1D9E6">
            <w:pPr>
              <w:jc w:val="center"/>
              <w:rPr>
                <w:rFonts w:hint="eastAsia"/>
                <w:b/>
                <w:bCs/>
                <w:color w:val="000000"/>
              </w:rPr>
            </w:pPr>
            <w:r>
              <w:rPr>
                <w:rFonts w:hint="eastAsia"/>
                <w:b/>
                <w:bCs/>
                <w:color w:val="000000"/>
              </w:rPr>
              <w:t>权重（%）</w:t>
            </w:r>
          </w:p>
        </w:tc>
      </w:tr>
      <w:tr w14:paraId="0129CA87">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38A5BF51">
            <w:pPr>
              <w:jc w:val="center"/>
              <w:rPr>
                <w:rFonts w:hint="eastAsia"/>
                <w:color w:val="000000"/>
              </w:rPr>
            </w:pPr>
            <w:r>
              <w:rPr>
                <w:rFonts w:hint="eastAsia"/>
                <w:color w:val="000000"/>
              </w:rPr>
              <w:t>1.1智能投顾高级投研</w:t>
            </w:r>
          </w:p>
        </w:tc>
        <w:tc>
          <w:tcPr>
            <w:tcW w:w="2980" w:type="dxa"/>
            <w:tcBorders>
              <w:top w:val="nil"/>
              <w:left w:val="nil"/>
              <w:bottom w:val="single" w:color="auto" w:sz="4" w:space="0"/>
              <w:right w:val="single" w:color="auto" w:sz="4" w:space="0"/>
            </w:tcBorders>
            <w:shd w:val="clear" w:color="auto" w:fill="auto"/>
            <w:noWrap/>
            <w:vAlign w:val="center"/>
          </w:tcPr>
          <w:p w14:paraId="49A95B8B">
            <w:pPr>
              <w:jc w:val="center"/>
              <w:rPr>
                <w:rFonts w:hint="eastAsia"/>
                <w:color w:val="000000"/>
              </w:rPr>
            </w:pPr>
            <w:r>
              <w:rPr>
                <w:rFonts w:hint="eastAsia"/>
                <w:color w:val="000000"/>
              </w:rPr>
              <w:t>10%</w:t>
            </w:r>
          </w:p>
        </w:tc>
      </w:tr>
      <w:tr w14:paraId="52424D6E">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3B4B4727">
            <w:pPr>
              <w:jc w:val="center"/>
              <w:rPr>
                <w:rFonts w:hint="eastAsia"/>
                <w:color w:val="000000"/>
              </w:rPr>
            </w:pPr>
            <w:r>
              <w:rPr>
                <w:rFonts w:hint="eastAsia"/>
                <w:color w:val="000000"/>
              </w:rPr>
              <w:t>1.2 智能投研工具应用</w:t>
            </w:r>
          </w:p>
        </w:tc>
        <w:tc>
          <w:tcPr>
            <w:tcW w:w="2980" w:type="dxa"/>
            <w:tcBorders>
              <w:top w:val="nil"/>
              <w:left w:val="nil"/>
              <w:bottom w:val="single" w:color="auto" w:sz="4" w:space="0"/>
              <w:right w:val="single" w:color="auto" w:sz="4" w:space="0"/>
            </w:tcBorders>
            <w:shd w:val="clear" w:color="auto" w:fill="auto"/>
            <w:noWrap/>
            <w:vAlign w:val="center"/>
          </w:tcPr>
          <w:p w14:paraId="51F58028">
            <w:pPr>
              <w:jc w:val="center"/>
              <w:rPr>
                <w:rFonts w:hint="eastAsia"/>
                <w:color w:val="000000"/>
              </w:rPr>
            </w:pPr>
            <w:r>
              <w:rPr>
                <w:rFonts w:hint="eastAsia"/>
                <w:color w:val="000000"/>
              </w:rPr>
              <w:t>5%</w:t>
            </w:r>
          </w:p>
        </w:tc>
      </w:tr>
      <w:tr w14:paraId="2F4A6FDA">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54A15910">
            <w:pPr>
              <w:jc w:val="center"/>
              <w:rPr>
                <w:rFonts w:hint="eastAsia"/>
                <w:color w:val="000000"/>
              </w:rPr>
            </w:pPr>
            <w:r>
              <w:rPr>
                <w:rFonts w:hint="eastAsia"/>
                <w:color w:val="000000"/>
              </w:rPr>
              <w:t>1.3 智能风控和AI工具应用</w:t>
            </w:r>
          </w:p>
        </w:tc>
        <w:tc>
          <w:tcPr>
            <w:tcW w:w="2980" w:type="dxa"/>
            <w:tcBorders>
              <w:top w:val="nil"/>
              <w:left w:val="nil"/>
              <w:bottom w:val="single" w:color="auto" w:sz="4" w:space="0"/>
              <w:right w:val="single" w:color="auto" w:sz="4" w:space="0"/>
            </w:tcBorders>
            <w:shd w:val="clear" w:color="auto" w:fill="auto"/>
            <w:noWrap/>
            <w:vAlign w:val="center"/>
          </w:tcPr>
          <w:p w14:paraId="4CE2AE6D">
            <w:pPr>
              <w:jc w:val="center"/>
              <w:rPr>
                <w:rFonts w:hint="eastAsia"/>
                <w:color w:val="000000"/>
              </w:rPr>
            </w:pPr>
            <w:r>
              <w:rPr>
                <w:rFonts w:hint="eastAsia"/>
                <w:color w:val="000000"/>
              </w:rPr>
              <w:t>10%</w:t>
            </w:r>
          </w:p>
        </w:tc>
      </w:tr>
      <w:tr w14:paraId="07A042FA">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55B1D962">
            <w:pPr>
              <w:jc w:val="center"/>
              <w:rPr>
                <w:rFonts w:hint="eastAsia"/>
                <w:color w:val="000000"/>
              </w:rPr>
            </w:pPr>
            <w:r>
              <w:rPr>
                <w:rFonts w:hint="eastAsia"/>
                <w:color w:val="000000"/>
              </w:rPr>
              <w:t>2.1 基金及证券资产配置高级投研</w:t>
            </w:r>
          </w:p>
        </w:tc>
        <w:tc>
          <w:tcPr>
            <w:tcW w:w="2980" w:type="dxa"/>
            <w:tcBorders>
              <w:top w:val="nil"/>
              <w:left w:val="nil"/>
              <w:bottom w:val="single" w:color="auto" w:sz="4" w:space="0"/>
              <w:right w:val="single" w:color="auto" w:sz="4" w:space="0"/>
            </w:tcBorders>
            <w:shd w:val="clear" w:color="auto" w:fill="auto"/>
            <w:noWrap/>
            <w:vAlign w:val="center"/>
          </w:tcPr>
          <w:p w14:paraId="22ED609E">
            <w:pPr>
              <w:jc w:val="center"/>
              <w:rPr>
                <w:rFonts w:hint="eastAsia"/>
                <w:color w:val="000000"/>
              </w:rPr>
            </w:pPr>
            <w:r>
              <w:rPr>
                <w:rFonts w:hint="eastAsia"/>
                <w:color w:val="000000"/>
              </w:rPr>
              <w:t>10%</w:t>
            </w:r>
          </w:p>
        </w:tc>
      </w:tr>
      <w:tr w14:paraId="03F645A8">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2A361F6D">
            <w:pPr>
              <w:jc w:val="center"/>
              <w:rPr>
                <w:rFonts w:hint="eastAsia"/>
                <w:color w:val="000000"/>
              </w:rPr>
            </w:pPr>
            <w:r>
              <w:rPr>
                <w:rFonts w:hint="eastAsia"/>
                <w:color w:val="000000"/>
              </w:rPr>
              <w:t>2.2 证券销售</w:t>
            </w:r>
          </w:p>
        </w:tc>
        <w:tc>
          <w:tcPr>
            <w:tcW w:w="2980" w:type="dxa"/>
            <w:tcBorders>
              <w:top w:val="nil"/>
              <w:left w:val="nil"/>
              <w:bottom w:val="single" w:color="auto" w:sz="4" w:space="0"/>
              <w:right w:val="single" w:color="auto" w:sz="4" w:space="0"/>
            </w:tcBorders>
            <w:shd w:val="clear" w:color="auto" w:fill="auto"/>
            <w:noWrap/>
            <w:vAlign w:val="center"/>
          </w:tcPr>
          <w:p w14:paraId="796071AF">
            <w:pPr>
              <w:jc w:val="center"/>
              <w:rPr>
                <w:rFonts w:hint="eastAsia"/>
                <w:color w:val="000000"/>
              </w:rPr>
            </w:pPr>
            <w:r>
              <w:rPr>
                <w:rFonts w:hint="eastAsia"/>
                <w:color w:val="000000"/>
              </w:rPr>
              <w:t>5%</w:t>
            </w:r>
          </w:p>
        </w:tc>
      </w:tr>
      <w:tr w14:paraId="49D46272">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19DAF3E8">
            <w:pPr>
              <w:jc w:val="center"/>
              <w:rPr>
                <w:rFonts w:hint="eastAsia"/>
                <w:color w:val="000000"/>
              </w:rPr>
            </w:pPr>
            <w:r>
              <w:rPr>
                <w:rFonts w:hint="eastAsia"/>
                <w:color w:val="000000"/>
              </w:rPr>
              <w:t>2.3 证券产品销售及投研</w:t>
            </w:r>
          </w:p>
        </w:tc>
        <w:tc>
          <w:tcPr>
            <w:tcW w:w="2980" w:type="dxa"/>
            <w:tcBorders>
              <w:top w:val="nil"/>
              <w:left w:val="nil"/>
              <w:bottom w:val="single" w:color="auto" w:sz="4" w:space="0"/>
              <w:right w:val="single" w:color="auto" w:sz="4" w:space="0"/>
            </w:tcBorders>
            <w:shd w:val="clear" w:color="auto" w:fill="auto"/>
            <w:noWrap/>
            <w:vAlign w:val="center"/>
          </w:tcPr>
          <w:p w14:paraId="7FCBD5C2">
            <w:pPr>
              <w:jc w:val="center"/>
              <w:rPr>
                <w:rFonts w:hint="eastAsia"/>
                <w:color w:val="000000"/>
              </w:rPr>
            </w:pPr>
            <w:r>
              <w:rPr>
                <w:rFonts w:hint="eastAsia"/>
                <w:color w:val="000000"/>
              </w:rPr>
              <w:t>5%</w:t>
            </w:r>
          </w:p>
        </w:tc>
      </w:tr>
      <w:tr w14:paraId="39D3C941">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73D189B3">
            <w:pPr>
              <w:jc w:val="center"/>
              <w:rPr>
                <w:rFonts w:hint="eastAsia"/>
                <w:color w:val="000000"/>
              </w:rPr>
            </w:pPr>
            <w:r>
              <w:rPr>
                <w:rFonts w:hint="eastAsia"/>
                <w:color w:val="000000"/>
              </w:rPr>
              <w:t>3.1 黄金产品投研</w:t>
            </w:r>
          </w:p>
        </w:tc>
        <w:tc>
          <w:tcPr>
            <w:tcW w:w="2980" w:type="dxa"/>
            <w:tcBorders>
              <w:top w:val="nil"/>
              <w:left w:val="nil"/>
              <w:bottom w:val="single" w:color="auto" w:sz="4" w:space="0"/>
              <w:right w:val="single" w:color="auto" w:sz="4" w:space="0"/>
            </w:tcBorders>
            <w:shd w:val="clear" w:color="auto" w:fill="auto"/>
            <w:noWrap/>
            <w:vAlign w:val="center"/>
          </w:tcPr>
          <w:p w14:paraId="489C9382">
            <w:pPr>
              <w:jc w:val="center"/>
              <w:rPr>
                <w:rFonts w:hint="eastAsia"/>
                <w:color w:val="000000"/>
              </w:rPr>
            </w:pPr>
            <w:r>
              <w:rPr>
                <w:rFonts w:hint="eastAsia"/>
                <w:color w:val="000000"/>
              </w:rPr>
              <w:t>5%</w:t>
            </w:r>
          </w:p>
        </w:tc>
      </w:tr>
      <w:tr w14:paraId="74B7539E">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0CDC9317">
            <w:pPr>
              <w:jc w:val="center"/>
              <w:rPr>
                <w:rFonts w:hint="eastAsia"/>
                <w:color w:val="000000"/>
              </w:rPr>
            </w:pPr>
            <w:r>
              <w:rPr>
                <w:rFonts w:hint="eastAsia"/>
                <w:color w:val="000000"/>
              </w:rPr>
              <w:t>3.2 外汇产品投研</w:t>
            </w:r>
          </w:p>
        </w:tc>
        <w:tc>
          <w:tcPr>
            <w:tcW w:w="2980" w:type="dxa"/>
            <w:tcBorders>
              <w:top w:val="nil"/>
              <w:left w:val="nil"/>
              <w:bottom w:val="single" w:color="auto" w:sz="4" w:space="0"/>
              <w:right w:val="single" w:color="auto" w:sz="4" w:space="0"/>
            </w:tcBorders>
            <w:shd w:val="clear" w:color="auto" w:fill="auto"/>
            <w:noWrap/>
            <w:vAlign w:val="center"/>
          </w:tcPr>
          <w:p w14:paraId="05038FFB">
            <w:pPr>
              <w:jc w:val="center"/>
              <w:rPr>
                <w:rFonts w:hint="eastAsia"/>
                <w:color w:val="000000"/>
              </w:rPr>
            </w:pPr>
            <w:r>
              <w:rPr>
                <w:rFonts w:hint="eastAsia"/>
                <w:color w:val="000000"/>
              </w:rPr>
              <w:t>5%</w:t>
            </w:r>
          </w:p>
        </w:tc>
      </w:tr>
      <w:tr w14:paraId="396A30F6">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380FC085">
            <w:pPr>
              <w:jc w:val="center"/>
              <w:rPr>
                <w:rFonts w:hint="eastAsia"/>
                <w:color w:val="000000"/>
              </w:rPr>
            </w:pPr>
            <w:r>
              <w:rPr>
                <w:rFonts w:hint="eastAsia"/>
                <w:color w:val="000000"/>
              </w:rPr>
              <w:t>3.3 期货与衍生品投研</w:t>
            </w:r>
          </w:p>
        </w:tc>
        <w:tc>
          <w:tcPr>
            <w:tcW w:w="2980" w:type="dxa"/>
            <w:tcBorders>
              <w:top w:val="nil"/>
              <w:left w:val="nil"/>
              <w:bottom w:val="single" w:color="auto" w:sz="4" w:space="0"/>
              <w:right w:val="single" w:color="auto" w:sz="4" w:space="0"/>
            </w:tcBorders>
            <w:shd w:val="clear" w:color="auto" w:fill="auto"/>
            <w:noWrap/>
            <w:vAlign w:val="center"/>
          </w:tcPr>
          <w:p w14:paraId="4F598C5A">
            <w:pPr>
              <w:jc w:val="center"/>
              <w:rPr>
                <w:rFonts w:hint="eastAsia"/>
                <w:color w:val="000000"/>
              </w:rPr>
            </w:pPr>
            <w:r>
              <w:rPr>
                <w:rFonts w:hint="eastAsia"/>
                <w:color w:val="000000"/>
              </w:rPr>
              <w:t>5%</w:t>
            </w:r>
          </w:p>
        </w:tc>
      </w:tr>
      <w:tr w14:paraId="3A63AC05">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39E52628">
            <w:pPr>
              <w:jc w:val="center"/>
              <w:rPr>
                <w:rFonts w:hint="eastAsia"/>
                <w:color w:val="000000"/>
              </w:rPr>
            </w:pPr>
            <w:r>
              <w:rPr>
                <w:rFonts w:hint="eastAsia"/>
                <w:color w:val="000000"/>
              </w:rPr>
              <w:t>3.4 私募股权基金产品投研</w:t>
            </w:r>
          </w:p>
        </w:tc>
        <w:tc>
          <w:tcPr>
            <w:tcW w:w="2980" w:type="dxa"/>
            <w:tcBorders>
              <w:top w:val="nil"/>
              <w:left w:val="nil"/>
              <w:bottom w:val="single" w:color="auto" w:sz="4" w:space="0"/>
              <w:right w:val="single" w:color="auto" w:sz="4" w:space="0"/>
            </w:tcBorders>
            <w:shd w:val="clear" w:color="auto" w:fill="auto"/>
            <w:noWrap/>
            <w:vAlign w:val="center"/>
          </w:tcPr>
          <w:p w14:paraId="26F5AFBD">
            <w:pPr>
              <w:jc w:val="center"/>
              <w:rPr>
                <w:rFonts w:hint="eastAsia"/>
                <w:color w:val="000000"/>
              </w:rPr>
            </w:pPr>
            <w:r>
              <w:rPr>
                <w:rFonts w:hint="eastAsia"/>
                <w:color w:val="000000"/>
              </w:rPr>
              <w:t>10%</w:t>
            </w:r>
          </w:p>
        </w:tc>
      </w:tr>
      <w:tr w14:paraId="64BA8461">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1CCB04CD">
            <w:pPr>
              <w:jc w:val="center"/>
              <w:rPr>
                <w:rFonts w:hint="eastAsia"/>
                <w:color w:val="000000"/>
              </w:rPr>
            </w:pPr>
            <w:r>
              <w:rPr>
                <w:rFonts w:hint="eastAsia"/>
                <w:color w:val="000000"/>
              </w:rPr>
              <w:t>3.5 进阶复杂金融产品销售</w:t>
            </w:r>
          </w:p>
        </w:tc>
        <w:tc>
          <w:tcPr>
            <w:tcW w:w="2980" w:type="dxa"/>
            <w:tcBorders>
              <w:top w:val="nil"/>
              <w:left w:val="nil"/>
              <w:bottom w:val="single" w:color="auto" w:sz="4" w:space="0"/>
              <w:right w:val="single" w:color="auto" w:sz="4" w:space="0"/>
            </w:tcBorders>
            <w:shd w:val="clear" w:color="auto" w:fill="auto"/>
            <w:noWrap/>
            <w:vAlign w:val="center"/>
          </w:tcPr>
          <w:p w14:paraId="3383DCCD">
            <w:pPr>
              <w:jc w:val="center"/>
              <w:rPr>
                <w:rFonts w:hint="eastAsia"/>
                <w:color w:val="000000"/>
              </w:rPr>
            </w:pPr>
            <w:r>
              <w:rPr>
                <w:rFonts w:hint="eastAsia"/>
                <w:color w:val="000000"/>
              </w:rPr>
              <w:t>10%</w:t>
            </w:r>
          </w:p>
        </w:tc>
      </w:tr>
      <w:tr w14:paraId="67959396">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62756A42">
            <w:pPr>
              <w:jc w:val="center"/>
              <w:rPr>
                <w:rFonts w:hint="eastAsia"/>
                <w:color w:val="000000"/>
              </w:rPr>
            </w:pPr>
            <w:r>
              <w:rPr>
                <w:rFonts w:hint="eastAsia"/>
                <w:color w:val="000000"/>
              </w:rPr>
              <w:t>4.1 综合理财规划</w:t>
            </w:r>
          </w:p>
        </w:tc>
        <w:tc>
          <w:tcPr>
            <w:tcW w:w="2980" w:type="dxa"/>
            <w:tcBorders>
              <w:top w:val="nil"/>
              <w:left w:val="nil"/>
              <w:bottom w:val="single" w:color="auto" w:sz="4" w:space="0"/>
              <w:right w:val="single" w:color="auto" w:sz="4" w:space="0"/>
            </w:tcBorders>
            <w:shd w:val="clear" w:color="auto" w:fill="auto"/>
            <w:noWrap/>
            <w:vAlign w:val="center"/>
          </w:tcPr>
          <w:p w14:paraId="4D7A4AD4">
            <w:pPr>
              <w:jc w:val="center"/>
              <w:rPr>
                <w:rFonts w:hint="eastAsia"/>
                <w:color w:val="000000"/>
              </w:rPr>
            </w:pPr>
            <w:r>
              <w:rPr>
                <w:rFonts w:hint="eastAsia"/>
                <w:color w:val="000000"/>
              </w:rPr>
              <w:t>10%</w:t>
            </w:r>
          </w:p>
        </w:tc>
      </w:tr>
      <w:tr w14:paraId="59CB2AA5">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704BC2E5">
            <w:pPr>
              <w:jc w:val="center"/>
              <w:rPr>
                <w:rFonts w:hint="eastAsia"/>
                <w:color w:val="000000"/>
              </w:rPr>
            </w:pPr>
            <w:r>
              <w:rPr>
                <w:rFonts w:hint="eastAsia"/>
                <w:color w:val="000000"/>
              </w:rPr>
              <w:t>4.2 综合理财规划案例应用</w:t>
            </w:r>
          </w:p>
        </w:tc>
        <w:tc>
          <w:tcPr>
            <w:tcW w:w="2980" w:type="dxa"/>
            <w:tcBorders>
              <w:top w:val="nil"/>
              <w:left w:val="nil"/>
              <w:bottom w:val="single" w:color="auto" w:sz="4" w:space="0"/>
              <w:right w:val="single" w:color="auto" w:sz="4" w:space="0"/>
            </w:tcBorders>
            <w:shd w:val="clear" w:color="auto" w:fill="auto"/>
            <w:noWrap/>
            <w:vAlign w:val="center"/>
          </w:tcPr>
          <w:p w14:paraId="2580D07E">
            <w:pPr>
              <w:jc w:val="center"/>
              <w:rPr>
                <w:rFonts w:hint="eastAsia"/>
                <w:color w:val="000000"/>
              </w:rPr>
            </w:pPr>
            <w:r>
              <w:rPr>
                <w:rFonts w:hint="eastAsia"/>
                <w:color w:val="000000"/>
              </w:rPr>
              <w:t>5%</w:t>
            </w:r>
          </w:p>
        </w:tc>
      </w:tr>
      <w:tr w14:paraId="6D758472">
        <w:tblPrEx>
          <w:tblCellMar>
            <w:top w:w="0" w:type="dxa"/>
            <w:left w:w="108" w:type="dxa"/>
            <w:bottom w:w="0" w:type="dxa"/>
            <w:right w:w="108" w:type="dxa"/>
          </w:tblCellMar>
        </w:tblPrEx>
        <w:trPr>
          <w:trHeight w:val="285" w:hRule="atLeast"/>
        </w:trPr>
        <w:tc>
          <w:tcPr>
            <w:tcW w:w="5120" w:type="dxa"/>
            <w:tcBorders>
              <w:top w:val="nil"/>
              <w:left w:val="single" w:color="auto" w:sz="4" w:space="0"/>
              <w:bottom w:val="single" w:color="auto" w:sz="4" w:space="0"/>
              <w:right w:val="single" w:color="auto" w:sz="4" w:space="0"/>
            </w:tcBorders>
            <w:shd w:val="clear" w:color="auto" w:fill="auto"/>
            <w:vAlign w:val="center"/>
          </w:tcPr>
          <w:p w14:paraId="622FD09C">
            <w:pPr>
              <w:jc w:val="center"/>
              <w:rPr>
                <w:rFonts w:hint="eastAsia"/>
                <w:color w:val="000000"/>
              </w:rPr>
            </w:pPr>
            <w:r>
              <w:rPr>
                <w:rFonts w:hint="eastAsia"/>
                <w:color w:val="000000"/>
              </w:rPr>
              <w:t>4.3 智能投顾工具理财规划</w:t>
            </w:r>
          </w:p>
        </w:tc>
        <w:tc>
          <w:tcPr>
            <w:tcW w:w="2980" w:type="dxa"/>
            <w:tcBorders>
              <w:top w:val="nil"/>
              <w:left w:val="nil"/>
              <w:bottom w:val="single" w:color="auto" w:sz="4" w:space="0"/>
              <w:right w:val="single" w:color="auto" w:sz="4" w:space="0"/>
            </w:tcBorders>
            <w:shd w:val="clear" w:color="auto" w:fill="auto"/>
            <w:noWrap/>
            <w:vAlign w:val="center"/>
          </w:tcPr>
          <w:p w14:paraId="5F62D440">
            <w:pPr>
              <w:jc w:val="center"/>
              <w:rPr>
                <w:rFonts w:hint="eastAsia"/>
                <w:color w:val="000000"/>
              </w:rPr>
            </w:pPr>
            <w:r>
              <w:rPr>
                <w:rFonts w:hint="eastAsia"/>
                <w:color w:val="000000"/>
              </w:rPr>
              <w:t>5%</w:t>
            </w:r>
          </w:p>
        </w:tc>
      </w:tr>
    </w:tbl>
    <w:p w14:paraId="094B845C">
      <w:pPr>
        <w:pStyle w:val="16"/>
        <w:ind w:firstLine="0" w:firstLineChars="0"/>
        <w:rPr>
          <w:rFonts w:hint="eastAsia"/>
        </w:rPr>
      </w:pPr>
    </w:p>
    <w:p w14:paraId="31216FDA">
      <w:pPr>
        <w:pStyle w:val="16"/>
        <w:ind w:firstLine="400"/>
      </w:pPr>
    </w:p>
    <w:p w14:paraId="6ACCBB09">
      <w:pPr>
        <w:pStyle w:val="16"/>
        <w:ind w:firstLine="400"/>
      </w:pPr>
    </w:p>
    <w:p w14:paraId="4B3034FD">
      <w:pPr>
        <w:pStyle w:val="16"/>
        <w:ind w:firstLine="400"/>
      </w:pPr>
    </w:p>
    <w:p w14:paraId="136DBD55">
      <w:pPr>
        <w:pStyle w:val="16"/>
        <w:ind w:firstLine="400"/>
      </w:pPr>
    </w:p>
    <w:p w14:paraId="74051D2C">
      <w:pPr>
        <w:pStyle w:val="16"/>
        <w:ind w:firstLine="400"/>
      </w:pPr>
    </w:p>
    <w:p w14:paraId="033D2324">
      <w:pPr>
        <w:pStyle w:val="16"/>
        <w:spacing w:line="360" w:lineRule="auto"/>
        <w:ind w:firstLine="0" w:firstLineChars="0"/>
        <w:jc w:val="center"/>
        <w:rPr>
          <w:rFonts w:hint="eastAsia" w:ascii="黑体" w:hAnsi="黑体" w:eastAsia="黑体"/>
          <w:sz w:val="32"/>
          <w:szCs w:val="32"/>
        </w:rPr>
      </w:pPr>
      <w:bookmarkStart w:id="220" w:name="_Toc26176"/>
      <w:bookmarkStart w:id="221" w:name="_Toc23363"/>
      <w:bookmarkStart w:id="222" w:name="_Toc1198"/>
      <w:bookmarkStart w:id="223" w:name="_Toc30538"/>
    </w:p>
    <w:p w14:paraId="5B79BCD2">
      <w:pPr>
        <w:pStyle w:val="16"/>
        <w:spacing w:line="360" w:lineRule="auto"/>
        <w:ind w:firstLine="0" w:firstLineChars="0"/>
        <w:jc w:val="center"/>
        <w:rPr>
          <w:rFonts w:hint="eastAsia" w:ascii="黑体" w:hAnsi="黑体" w:eastAsia="黑体"/>
          <w:sz w:val="32"/>
          <w:szCs w:val="32"/>
        </w:rPr>
      </w:pPr>
    </w:p>
    <w:p w14:paraId="684DAC97">
      <w:pPr>
        <w:pStyle w:val="16"/>
        <w:spacing w:line="360" w:lineRule="auto"/>
        <w:ind w:firstLine="0" w:firstLineChars="0"/>
        <w:jc w:val="center"/>
        <w:rPr>
          <w:rFonts w:ascii="黑体" w:hAnsi="黑体" w:eastAsia="黑体"/>
          <w:sz w:val="32"/>
          <w:szCs w:val="32"/>
        </w:rPr>
      </w:pPr>
    </w:p>
    <w:p w14:paraId="285885D7">
      <w:pPr>
        <w:pStyle w:val="16"/>
        <w:spacing w:line="360" w:lineRule="auto"/>
        <w:ind w:firstLine="0" w:firstLineChars="0"/>
        <w:jc w:val="center"/>
        <w:rPr>
          <w:rFonts w:ascii="黑体" w:hAnsi="黑体" w:eastAsia="黑体"/>
          <w:sz w:val="32"/>
          <w:szCs w:val="32"/>
        </w:rPr>
      </w:pPr>
    </w:p>
    <w:p w14:paraId="69892078">
      <w:pPr>
        <w:pStyle w:val="16"/>
        <w:spacing w:line="360" w:lineRule="auto"/>
        <w:ind w:firstLine="0" w:firstLineChars="0"/>
        <w:jc w:val="center"/>
        <w:rPr>
          <w:rFonts w:ascii="黑体" w:hAnsi="黑体" w:eastAsia="黑体"/>
          <w:sz w:val="32"/>
          <w:szCs w:val="32"/>
        </w:rPr>
      </w:pPr>
    </w:p>
    <w:p w14:paraId="05A2CDAF">
      <w:pPr>
        <w:pStyle w:val="16"/>
        <w:spacing w:line="360" w:lineRule="auto"/>
        <w:ind w:firstLine="0" w:firstLineChars="0"/>
        <w:jc w:val="center"/>
        <w:rPr>
          <w:rFonts w:ascii="黑体" w:hAnsi="黑体" w:eastAsia="黑体"/>
          <w:sz w:val="32"/>
          <w:szCs w:val="32"/>
        </w:rPr>
      </w:pPr>
    </w:p>
    <w:p w14:paraId="52757C69">
      <w:pPr>
        <w:pStyle w:val="16"/>
        <w:spacing w:line="360" w:lineRule="auto"/>
        <w:ind w:firstLine="0" w:firstLineChars="0"/>
        <w:jc w:val="center"/>
        <w:rPr>
          <w:rFonts w:ascii="黑体" w:hAnsi="黑体" w:eastAsia="黑体"/>
          <w:sz w:val="32"/>
          <w:szCs w:val="32"/>
        </w:rPr>
      </w:pPr>
    </w:p>
    <w:p w14:paraId="2FEAA453">
      <w:pPr>
        <w:pStyle w:val="16"/>
        <w:spacing w:line="360" w:lineRule="auto"/>
        <w:ind w:firstLine="0" w:firstLineChars="0"/>
        <w:jc w:val="center"/>
        <w:rPr>
          <w:rFonts w:ascii="黑体" w:hAnsi="黑体" w:eastAsia="黑体"/>
          <w:sz w:val="32"/>
          <w:szCs w:val="32"/>
        </w:rPr>
      </w:pPr>
    </w:p>
    <w:p w14:paraId="6AAF7785">
      <w:pPr>
        <w:pStyle w:val="16"/>
        <w:spacing w:line="360" w:lineRule="auto"/>
        <w:ind w:firstLine="0" w:firstLineChars="0"/>
        <w:jc w:val="center"/>
        <w:rPr>
          <w:rFonts w:hint="eastAsia" w:ascii="黑体" w:hAnsi="黑体" w:eastAsia="黑体"/>
          <w:sz w:val="32"/>
          <w:szCs w:val="32"/>
        </w:rPr>
      </w:pPr>
    </w:p>
    <w:p w14:paraId="06E307B5">
      <w:pPr>
        <w:pStyle w:val="16"/>
        <w:spacing w:line="360" w:lineRule="auto"/>
        <w:ind w:firstLine="0" w:firstLineChars="0"/>
        <w:jc w:val="center"/>
        <w:rPr>
          <w:rFonts w:hint="eastAsia" w:ascii="黑体" w:hAnsi="黑体" w:eastAsia="黑体"/>
          <w:sz w:val="32"/>
          <w:szCs w:val="32"/>
        </w:rPr>
      </w:pPr>
    </w:p>
    <w:p w14:paraId="4EAB5EFA">
      <w:pPr>
        <w:pStyle w:val="16"/>
        <w:spacing w:line="360" w:lineRule="auto"/>
        <w:ind w:firstLine="0" w:firstLineChars="0"/>
        <w:jc w:val="center"/>
        <w:rPr>
          <w:rFonts w:hint="eastAsia" w:ascii="黑体" w:hAnsi="黑体" w:eastAsia="黑体"/>
          <w:sz w:val="32"/>
          <w:szCs w:val="32"/>
        </w:rPr>
      </w:pPr>
      <w:r>
        <w:rPr>
          <w:rFonts w:hint="eastAsia" w:ascii="黑体" w:hAnsi="黑体" w:eastAsia="黑体"/>
          <w:sz w:val="32"/>
          <w:szCs w:val="32"/>
        </w:rPr>
        <w:t>参考文献</w:t>
      </w:r>
      <w:bookmarkEnd w:id="212"/>
      <w:bookmarkEnd w:id="213"/>
      <w:bookmarkEnd w:id="214"/>
      <w:bookmarkEnd w:id="215"/>
      <w:bookmarkEnd w:id="216"/>
      <w:bookmarkEnd w:id="217"/>
      <w:bookmarkEnd w:id="218"/>
      <w:bookmarkEnd w:id="219"/>
      <w:bookmarkEnd w:id="220"/>
      <w:bookmarkEnd w:id="221"/>
      <w:bookmarkEnd w:id="222"/>
      <w:bookmarkEnd w:id="223"/>
    </w:p>
    <w:p w14:paraId="1F678DD1">
      <w:pPr>
        <w:pStyle w:val="16"/>
        <w:spacing w:line="600" w:lineRule="exact"/>
        <w:ind w:firstLine="480"/>
        <w:rPr>
          <w:rFonts w:hint="eastAsia" w:ascii="Times New Roman" w:hAnsi="等线"/>
          <w:sz w:val="24"/>
          <w:szCs w:val="24"/>
        </w:rPr>
      </w:pPr>
      <w:r>
        <w:rPr>
          <w:rFonts w:hint="eastAsia" w:ascii="Times New Roman" w:hAnsi="等线"/>
          <w:sz w:val="24"/>
          <w:szCs w:val="24"/>
        </w:rPr>
        <w:t>[1] GB/T 1.1-2020标准化工作导则 第1部分：标准化文件的结构和起草规则</w:t>
      </w:r>
    </w:p>
    <w:p w14:paraId="62B83B1A">
      <w:pPr>
        <w:pStyle w:val="16"/>
        <w:spacing w:line="600" w:lineRule="exact"/>
        <w:ind w:firstLine="480"/>
        <w:rPr>
          <w:rFonts w:hint="eastAsia" w:ascii="Times New Roman" w:hAnsi="等线"/>
          <w:sz w:val="24"/>
          <w:szCs w:val="24"/>
        </w:rPr>
      </w:pPr>
      <w:r>
        <w:rPr>
          <w:rFonts w:hint="eastAsia" w:ascii="Times New Roman" w:hAnsi="等线"/>
          <w:sz w:val="24"/>
          <w:szCs w:val="24"/>
        </w:rPr>
        <w:t>[2] GB/T 23697-2009 个人理财 理财规划师的要求</w:t>
      </w:r>
    </w:p>
    <w:p w14:paraId="50C04CC8">
      <w:pPr>
        <w:pStyle w:val="16"/>
        <w:spacing w:line="600" w:lineRule="exact"/>
        <w:ind w:firstLine="480"/>
        <w:rPr>
          <w:rFonts w:hint="eastAsia" w:ascii="Times New Roman" w:hAnsi="等线"/>
          <w:sz w:val="24"/>
          <w:szCs w:val="24"/>
        </w:rPr>
      </w:pPr>
      <w:r>
        <w:rPr>
          <w:rFonts w:hint="eastAsia" w:ascii="Times New Roman" w:hAnsi="等线"/>
          <w:sz w:val="24"/>
          <w:szCs w:val="24"/>
        </w:rPr>
        <w:t>[3] GB/T 32313-2015 商业银行个人理财服务规范</w:t>
      </w:r>
    </w:p>
    <w:p w14:paraId="7C4E638D">
      <w:pPr>
        <w:pStyle w:val="16"/>
        <w:spacing w:line="600" w:lineRule="exact"/>
        <w:ind w:firstLine="480"/>
        <w:rPr>
          <w:rFonts w:hint="eastAsia" w:ascii="Times New Roman" w:hAnsi="等线"/>
          <w:sz w:val="24"/>
          <w:szCs w:val="24"/>
        </w:rPr>
      </w:pPr>
      <w:r>
        <w:rPr>
          <w:rFonts w:hint="eastAsia" w:ascii="Times New Roman" w:hAnsi="等线"/>
          <w:sz w:val="24"/>
          <w:szCs w:val="24"/>
        </w:rPr>
        <w:t>[4] GB/T 32317-2015 商业银行个人理财客户风险承受能力测评规范</w:t>
      </w:r>
    </w:p>
    <w:p w14:paraId="664E22B0">
      <w:pPr>
        <w:pStyle w:val="16"/>
        <w:spacing w:line="600" w:lineRule="exact"/>
        <w:ind w:firstLine="480"/>
        <w:rPr>
          <w:rFonts w:hint="eastAsia" w:ascii="Times New Roman" w:hAnsi="等线"/>
          <w:sz w:val="24"/>
          <w:szCs w:val="24"/>
        </w:rPr>
      </w:pPr>
      <w:r>
        <w:rPr>
          <w:rFonts w:hint="eastAsia" w:ascii="Times New Roman" w:hAnsi="等线"/>
          <w:sz w:val="24"/>
          <w:szCs w:val="24"/>
        </w:rPr>
        <w:t>[5]</w:t>
      </w:r>
      <w:r>
        <w:rPr>
          <w:rFonts w:hint="eastAsia"/>
        </w:rPr>
        <w:t xml:space="preserve"> </w:t>
      </w:r>
      <w:r>
        <w:rPr>
          <w:rFonts w:hint="eastAsia" w:ascii="Times New Roman" w:hAnsi="等线"/>
          <w:sz w:val="24"/>
          <w:szCs w:val="24"/>
        </w:rPr>
        <w:t>GB/T 42339-2023 金融机构风险管理 术语</w:t>
      </w:r>
    </w:p>
    <w:p w14:paraId="5E95AD8D">
      <w:pPr>
        <w:pStyle w:val="16"/>
        <w:spacing w:line="600" w:lineRule="exact"/>
        <w:ind w:firstLine="480"/>
        <w:rPr>
          <w:rFonts w:hint="eastAsia" w:ascii="Times New Roman" w:hAnsi="等线"/>
          <w:sz w:val="24"/>
          <w:szCs w:val="24"/>
        </w:rPr>
      </w:pPr>
      <w:r>
        <w:rPr>
          <w:rFonts w:hint="eastAsia" w:ascii="Times New Roman" w:hAnsi="等线"/>
          <w:sz w:val="24"/>
          <w:szCs w:val="24"/>
        </w:rPr>
        <w:t>[6] 中国证券投资基金业协会 基金从业资格考试统编教材（2020年）</w:t>
      </w:r>
    </w:p>
    <w:p w14:paraId="2F2FDE7A">
      <w:pPr>
        <w:pStyle w:val="16"/>
        <w:spacing w:line="600" w:lineRule="exact"/>
        <w:ind w:firstLine="480"/>
        <w:rPr>
          <w:rFonts w:hint="eastAsia" w:ascii="Times New Roman" w:hAnsi="等线"/>
          <w:sz w:val="24"/>
          <w:szCs w:val="24"/>
        </w:rPr>
      </w:pPr>
      <w:r>
        <w:rPr>
          <w:rFonts w:hint="eastAsia" w:ascii="Times New Roman" w:hAnsi="等线"/>
          <w:sz w:val="24"/>
          <w:szCs w:val="24"/>
        </w:rPr>
        <w:t>[7] 国际金融理财协会 国际金融理财师CFP考试参考用书（2020年）</w:t>
      </w:r>
    </w:p>
    <w:p w14:paraId="5A76C982">
      <w:pPr>
        <w:pStyle w:val="16"/>
        <w:spacing w:line="600" w:lineRule="exact"/>
        <w:ind w:firstLine="480"/>
        <w:rPr>
          <w:rFonts w:hint="eastAsia" w:ascii="Times New Roman" w:hAnsi="等线"/>
          <w:sz w:val="24"/>
          <w:szCs w:val="24"/>
        </w:rPr>
      </w:pPr>
      <w:r>
        <w:rPr>
          <w:rFonts w:hint="eastAsia" w:ascii="Times New Roman" w:hAnsi="等线"/>
          <w:sz w:val="24"/>
          <w:szCs w:val="24"/>
        </w:rPr>
        <w:t>[8] 中华人民共和国教育部 职业教育专业目录（2021年）</w:t>
      </w:r>
    </w:p>
    <w:p w14:paraId="1A1D5C3E">
      <w:pPr>
        <w:pStyle w:val="4"/>
        <w:shd w:val="clear" w:color="auto" w:fill="FDFDFE"/>
        <w:spacing w:before="140" w:beforeAutospacing="0" w:after="80" w:afterAutospacing="0" w:line="17" w:lineRule="atLeast"/>
        <w:ind w:firstLine="480" w:firstLineChars="200"/>
        <w:rPr>
          <w:rFonts w:ascii="Times New Roman" w:hAnsi="等线"/>
          <w:b w:val="0"/>
          <w:bCs w:val="0"/>
          <w:sz w:val="24"/>
          <w:szCs w:val="24"/>
        </w:rPr>
      </w:pPr>
      <w:r>
        <w:rPr>
          <w:rFonts w:ascii="Times New Roman" w:hAnsi="等线"/>
          <w:b w:val="0"/>
          <w:bCs w:val="0"/>
          <w:sz w:val="24"/>
          <w:szCs w:val="24"/>
        </w:rPr>
        <w:t>[9]</w:t>
      </w:r>
      <w:r>
        <w:rPr>
          <w:rFonts w:hint="default" w:ascii="Times New Roman" w:hAnsi="等线"/>
          <w:b w:val="0"/>
          <w:bCs w:val="0"/>
          <w:sz w:val="24"/>
          <w:szCs w:val="24"/>
        </w:rPr>
        <w:t>中国人民银行《金融从业规范 财富管理》（JR/T 0238.3—2021）</w:t>
      </w:r>
      <w:r>
        <w:rPr>
          <w:rFonts w:ascii="Times New Roman" w:hAnsi="等线"/>
          <w:b w:val="0"/>
          <w:bCs w:val="0"/>
          <w:sz w:val="24"/>
          <w:szCs w:val="24"/>
        </w:rPr>
        <w:t>（</w:t>
      </w:r>
      <w:r>
        <w:rPr>
          <w:rFonts w:hint="default" w:ascii="Times New Roman" w:hAnsi="等线"/>
          <w:b w:val="0"/>
          <w:bCs w:val="0"/>
          <w:sz w:val="24"/>
          <w:szCs w:val="24"/>
        </w:rPr>
        <w:t>2021年</w:t>
      </w:r>
      <w:r>
        <w:rPr>
          <w:rFonts w:ascii="Times New Roman" w:hAnsi="等线"/>
          <w:b w:val="0"/>
          <w:bCs w:val="0"/>
          <w:sz w:val="24"/>
          <w:szCs w:val="24"/>
        </w:rPr>
        <w:t>）</w:t>
      </w:r>
    </w:p>
    <w:p w14:paraId="73686C18"/>
    <w:p w14:paraId="0807D00E">
      <w:pPr>
        <w:pStyle w:val="16"/>
        <w:spacing w:line="600" w:lineRule="exact"/>
        <w:ind w:firstLine="480"/>
        <w:rPr>
          <w:rFonts w:hint="eastAsia" w:ascii="Times New Roman" w:hAnsi="等线"/>
          <w:sz w:val="24"/>
          <w:szCs w:val="24"/>
        </w:rPr>
      </w:pPr>
    </w:p>
    <w:p w14:paraId="2EC55BF7">
      <w:pPr>
        <w:rPr>
          <w:rFonts w:hint="eastAsia" w:ascii="黑体" w:hAnsi="黑体" w:eastAsia="黑体"/>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38D454-F3F3-49D3-8F32-9BE23DC33326}"/>
  </w:font>
  <w:font w:name="Arial">
    <w:panose1 w:val="020B0604020202020204"/>
    <w:charset w:val="01"/>
    <w:family w:val="swiss"/>
    <w:pitch w:val="default"/>
    <w:sig w:usb0="E0002EFF" w:usb1="C000785B" w:usb2="00000009" w:usb3="00000000" w:csb0="400001FF" w:csb1="FFFF0000"/>
    <w:embedRegular r:id="rId2" w:fontKey="{6920322A-4469-49B5-ACE6-292EE89CAE1B}"/>
  </w:font>
  <w:font w:name="黑体">
    <w:panose1 w:val="02010609060101010101"/>
    <w:charset w:val="86"/>
    <w:family w:val="auto"/>
    <w:pitch w:val="default"/>
    <w:sig w:usb0="800002BF" w:usb1="38CF7CFA" w:usb2="00000016" w:usb3="00000000" w:csb0="00040001" w:csb1="00000000"/>
    <w:embedRegular r:id="rId3" w:fontKey="{789CDA23-84F0-4996-8FBF-BC0C1A9AD2BC}"/>
  </w:font>
  <w:font w:name="Courier New">
    <w:panose1 w:val="02070309020205020404"/>
    <w:charset w:val="01"/>
    <w:family w:val="modern"/>
    <w:pitch w:val="default"/>
    <w:sig w:usb0="E0002EFF" w:usb1="C0007843" w:usb2="00000009" w:usb3="00000000" w:csb0="400001FF" w:csb1="FFFF0000"/>
    <w:embedRegular r:id="rId4" w:fontKey="{B6CE5B2A-5831-4B0E-BF79-8410ED18B5DE}"/>
  </w:font>
  <w:font w:name="Symbol">
    <w:panose1 w:val="05050102010706020507"/>
    <w:charset w:val="02"/>
    <w:family w:val="roman"/>
    <w:pitch w:val="default"/>
    <w:sig w:usb0="00000000" w:usb1="00000000" w:usb2="00000000" w:usb3="00000000" w:csb0="80000000" w:csb1="00000000"/>
    <w:embedRegular r:id="rId5" w:fontKey="{4AC8C2B0-EF28-418E-9C02-25419008B535}"/>
  </w:font>
  <w:font w:name="Calibri">
    <w:panose1 w:val="020F0502020204030204"/>
    <w:charset w:val="00"/>
    <w:family w:val="swiss"/>
    <w:pitch w:val="default"/>
    <w:sig w:usb0="E4002EFF" w:usb1="C200247B" w:usb2="00000009" w:usb3="00000000" w:csb0="200001FF" w:csb1="00000000"/>
    <w:embedRegular r:id="rId6" w:fontKey="{A7AE086B-E11D-4E9F-B521-DBF93A9C54B9}"/>
  </w:font>
  <w:font w:name="Cambria">
    <w:panose1 w:val="02040503050406030204"/>
    <w:charset w:val="00"/>
    <w:family w:val="roman"/>
    <w:pitch w:val="default"/>
    <w:sig w:usb0="E00006FF" w:usb1="420024FF" w:usb2="02000000" w:usb3="00000000" w:csb0="2000019F" w:csb1="00000000"/>
    <w:embedRegular r:id="rId7" w:fontKey="{222F86E2-F822-464F-AB3A-75C85E022954}"/>
  </w:font>
  <w:font w:name="楷体">
    <w:panose1 w:val="02010609060101010101"/>
    <w:charset w:val="86"/>
    <w:family w:val="modern"/>
    <w:pitch w:val="default"/>
    <w:sig w:usb0="800002BF" w:usb1="38CF7CFA" w:usb2="00000016" w:usb3="00000000" w:csb0="00040001" w:csb1="00000000"/>
    <w:embedRegular r:id="rId8" w:fontKey="{45B9DFAE-21EF-4CBD-B4AA-B73B619FB388}"/>
  </w:font>
  <w:font w:name="方正小标宋简体">
    <w:panose1 w:val="03000509000000000000"/>
    <w:charset w:val="86"/>
    <w:family w:val="script"/>
    <w:pitch w:val="default"/>
    <w:sig w:usb0="00000001" w:usb1="080E0000" w:usb2="00000000" w:usb3="00000000" w:csb0="00040000" w:csb1="00000000"/>
    <w:embedRegular r:id="rId9" w:fontKey="{35F55B26-1AD0-47AF-8C09-F7C521FC70B9}"/>
  </w:font>
  <w:font w:name="仿宋_GB2312">
    <w:panose1 w:val="02010609030101010101"/>
    <w:charset w:val="86"/>
    <w:family w:val="modern"/>
    <w:pitch w:val="default"/>
    <w:sig w:usb0="00000001" w:usb1="080E0000" w:usb2="00000000" w:usb3="00000000" w:csb0="00040000" w:csb1="00000000"/>
    <w:embedRegular r:id="rId10" w:fontKey="{99FC09D6-4790-43B3-B0AF-347FCC2B9E4D}"/>
  </w:font>
  <w:font w:name="方正仿宋简体">
    <w:panose1 w:val="02000000000000000000"/>
    <w:charset w:val="86"/>
    <w:family w:val="auto"/>
    <w:pitch w:val="default"/>
    <w:sig w:usb0="A00002BF" w:usb1="184F6CFA" w:usb2="00000012" w:usb3="00000000" w:csb0="00040001" w:csb1="00000000"/>
    <w:embedRegular r:id="rId11" w:fontKey="{EC43017A-A14B-450F-94A3-4DB5AC27970F}"/>
  </w:font>
  <w:font w:name="仿宋">
    <w:panose1 w:val="02010609060101010101"/>
    <w:charset w:val="86"/>
    <w:family w:val="modern"/>
    <w:pitch w:val="default"/>
    <w:sig w:usb0="800002BF" w:usb1="38CF7CFA" w:usb2="00000016" w:usb3="00000000" w:csb0="00040001" w:csb1="00000000"/>
    <w:embedRegular r:id="rId12" w:fontKey="{17851030-2663-4F61-A3B4-2E40D397AA22}"/>
  </w:font>
  <w:font w:name="等线">
    <w:panose1 w:val="02010600030101010101"/>
    <w:charset w:val="86"/>
    <w:family w:val="auto"/>
    <w:pitch w:val="default"/>
    <w:sig w:usb0="A00002BF" w:usb1="38CF7CFA" w:usb2="00000016" w:usb3="00000000" w:csb0="0004000F" w:csb1="00000000"/>
    <w:embedRegular r:id="rId13" w:fontKey="{2BA2DC51-1CF4-49C6-9EF5-42C2CA490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D2944">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8740" cy="228600"/>
              <wp:effectExtent l="0" t="0" r="0" b="2540"/>
              <wp:wrapNone/>
              <wp:docPr id="1" name="文本框 1"/>
              <wp:cNvGraphicFramePr/>
              <a:graphic xmlns:a="http://schemas.openxmlformats.org/drawingml/2006/main">
                <a:graphicData uri="http://schemas.microsoft.com/office/word/2010/wordprocessingShape">
                  <wps:wsp>
                    <wps:cNvSpPr>
                      <a:spLocks noChangeArrowheads="1"/>
                    </wps:cNvSpPr>
                    <wps:spPr bwMode="auto">
                      <a:xfrm>
                        <a:off x="0" y="0"/>
                        <a:ext cx="78740" cy="228600"/>
                      </a:xfrm>
                      <a:prstGeom prst="rect">
                        <a:avLst/>
                      </a:prstGeom>
                      <a:noFill/>
                      <a:ln>
                        <a:noFill/>
                      </a:ln>
                    </wps:spPr>
                    <wps:txbx>
                      <w:txbxContent>
                        <w:p w14:paraId="1CF59ABF">
                          <w:pPr>
                            <w:pStyle w:val="6"/>
                            <w:rPr>
                              <w:rFonts w:hint="eastAsia" w:ascii="仿宋_GB2312" w:hAnsi="仿宋_GB2312" w:eastAsia="仿宋_GB2312" w:cs="仿宋_GB2312"/>
                              <w:sz w:val="28"/>
                              <w:szCs w:val="28"/>
                            </w:rPr>
                          </w:pPr>
                          <w:r>
                            <w:rPr>
                              <w:rFonts w:hint="eastAsia" w:ascii="方正仿宋简体" w:hAnsi="方正仿宋简体" w:eastAsia="方正仿宋简体" w:cs="方正仿宋简体"/>
                              <w:sz w:val="21"/>
                              <w:szCs w:val="21"/>
                            </w:rPr>
                            <w:fldChar w:fldCharType="begin"/>
                          </w:r>
                          <w:r>
                            <w:rPr>
                              <w:rFonts w:hint="eastAsia" w:ascii="方正仿宋简体" w:hAnsi="方正仿宋简体" w:eastAsia="方正仿宋简体" w:cs="方正仿宋简体"/>
                              <w:sz w:val="21"/>
                              <w:szCs w:val="21"/>
                            </w:rPr>
                            <w:instrText xml:space="preserve"> PAGE  \* MERGEFORMAT </w:instrText>
                          </w:r>
                          <w:r>
                            <w:rPr>
                              <w:rFonts w:hint="eastAsia" w:ascii="方正仿宋简体" w:hAnsi="方正仿宋简体" w:eastAsia="方正仿宋简体" w:cs="方正仿宋简体"/>
                              <w:sz w:val="21"/>
                              <w:szCs w:val="21"/>
                            </w:rPr>
                            <w:fldChar w:fldCharType="separate"/>
                          </w:r>
                          <w:r>
                            <w:rPr>
                              <w:rFonts w:ascii="方正仿宋简体" w:hAnsi="方正仿宋简体" w:eastAsia="方正仿宋简体" w:cs="方正仿宋简体"/>
                              <w:sz w:val="21"/>
                              <w:szCs w:val="21"/>
                            </w:rPr>
                            <w:t>7</w:t>
                          </w:r>
                          <w:r>
                            <w:rPr>
                              <w:rFonts w:hint="eastAsia" w:ascii="方正仿宋简体" w:hAnsi="方正仿宋简体" w:eastAsia="方正仿宋简体" w:cs="方正仿宋简体"/>
                              <w:sz w:val="21"/>
                              <w:szCs w:val="21"/>
                            </w:rPr>
                            <w:fldChar w:fldCharType="end"/>
                          </w:r>
                        </w:p>
                      </w:txbxContent>
                    </wps:txbx>
                    <wps:bodyPr rot="0" vert="horz" wrap="none" lIns="0" tIns="0" rIns="0" bIns="0" anchor="t" anchorCtr="0" upright="1">
                      <a:spAutoFit/>
                    </wps:bodyPr>
                  </wps:wsp>
                </a:graphicData>
              </a:graphic>
            </wp:anchor>
          </w:drawing>
        </mc:Choice>
        <mc:Fallback>
          <w:pict>
            <v:rect id="文本框 1" o:spid="_x0000_s1026" o:spt="1" style="position:absolute;left:0pt;margin-top:0pt;height:18pt;width:6.2pt;mso-position-horizontal:center;mso-position-horizontal-relative:margin;mso-wrap-style:none;z-index:251659264;mso-width-relative:page;mso-height-relative:page;" filled="f" stroked="f" coordsize="21600,21600" o:gfxdata="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JIHJLRAAAAAwEAAA8AAAAAAAAAAQAgAAAAIgAAAGRycy9kb3ducmV2&#10;LnhtbFBLAQIUABQAAAAIAIdO4kBqx2+1AwIAAPcDAAAOAAAAAAAAAAEAIAAAACABAABkcnMvZTJv&#10;RG9jLnhtbFBLBQYAAAAABgAGAFkBAACVBQAAAAA=&#10;">
              <v:fill on="f" focussize="0,0"/>
              <v:stroke on="f"/>
              <v:imagedata o:title=""/>
              <o:lock v:ext="edit" aspectratio="f"/>
              <v:textbox inset="0mm,0mm,0mm,0mm" style="mso-fit-shape-to-text:t;">
                <w:txbxContent>
                  <w:p w14:paraId="1CF59ABF">
                    <w:pPr>
                      <w:pStyle w:val="6"/>
                      <w:rPr>
                        <w:rFonts w:hint="eastAsia" w:ascii="仿宋_GB2312" w:hAnsi="仿宋_GB2312" w:eastAsia="仿宋_GB2312" w:cs="仿宋_GB2312"/>
                        <w:sz w:val="28"/>
                        <w:szCs w:val="28"/>
                      </w:rPr>
                    </w:pPr>
                    <w:r>
                      <w:rPr>
                        <w:rFonts w:hint="eastAsia" w:ascii="方正仿宋简体" w:hAnsi="方正仿宋简体" w:eastAsia="方正仿宋简体" w:cs="方正仿宋简体"/>
                        <w:sz w:val="21"/>
                        <w:szCs w:val="21"/>
                      </w:rPr>
                      <w:fldChar w:fldCharType="begin"/>
                    </w:r>
                    <w:r>
                      <w:rPr>
                        <w:rFonts w:hint="eastAsia" w:ascii="方正仿宋简体" w:hAnsi="方正仿宋简体" w:eastAsia="方正仿宋简体" w:cs="方正仿宋简体"/>
                        <w:sz w:val="21"/>
                        <w:szCs w:val="21"/>
                      </w:rPr>
                      <w:instrText xml:space="preserve"> PAGE  \* MERGEFORMAT </w:instrText>
                    </w:r>
                    <w:r>
                      <w:rPr>
                        <w:rFonts w:hint="eastAsia" w:ascii="方正仿宋简体" w:hAnsi="方正仿宋简体" w:eastAsia="方正仿宋简体" w:cs="方正仿宋简体"/>
                        <w:sz w:val="21"/>
                        <w:szCs w:val="21"/>
                      </w:rPr>
                      <w:fldChar w:fldCharType="separate"/>
                    </w:r>
                    <w:r>
                      <w:rPr>
                        <w:rFonts w:ascii="方正仿宋简体" w:hAnsi="方正仿宋简体" w:eastAsia="方正仿宋简体" w:cs="方正仿宋简体"/>
                        <w:sz w:val="21"/>
                        <w:szCs w:val="21"/>
                      </w:rPr>
                      <w:t>7</w:t>
                    </w:r>
                    <w:r>
                      <w:rPr>
                        <w:rFonts w:hint="eastAsia" w:ascii="方正仿宋简体" w:hAnsi="方正仿宋简体" w:eastAsia="方正仿宋简体" w:cs="方正仿宋简体"/>
                        <w:sz w:val="21"/>
                        <w:szCs w:val="21"/>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1ZGQwZjFlYzg0M2M3NGEyYjNjOWYyZjZmYmQ3NzIifQ=="/>
  </w:docVars>
  <w:rsids>
    <w:rsidRoot w:val="008133B9"/>
    <w:rsid w:val="00004937"/>
    <w:rsid w:val="00013190"/>
    <w:rsid w:val="000413F2"/>
    <w:rsid w:val="000460B5"/>
    <w:rsid w:val="000839E4"/>
    <w:rsid w:val="00091D68"/>
    <w:rsid w:val="000969B4"/>
    <w:rsid w:val="000A4667"/>
    <w:rsid w:val="00114072"/>
    <w:rsid w:val="001907F0"/>
    <w:rsid w:val="001A38A3"/>
    <w:rsid w:val="001D0F68"/>
    <w:rsid w:val="001D6A5A"/>
    <w:rsid w:val="001E400D"/>
    <w:rsid w:val="001F0BD8"/>
    <w:rsid w:val="001F5B96"/>
    <w:rsid w:val="00237BED"/>
    <w:rsid w:val="00243AA0"/>
    <w:rsid w:val="002538AE"/>
    <w:rsid w:val="002D3682"/>
    <w:rsid w:val="002F022C"/>
    <w:rsid w:val="002F334E"/>
    <w:rsid w:val="003240E3"/>
    <w:rsid w:val="00350AFF"/>
    <w:rsid w:val="00355F7E"/>
    <w:rsid w:val="0036515B"/>
    <w:rsid w:val="00366339"/>
    <w:rsid w:val="00373F97"/>
    <w:rsid w:val="003947EF"/>
    <w:rsid w:val="003A4416"/>
    <w:rsid w:val="003A6318"/>
    <w:rsid w:val="003B56BD"/>
    <w:rsid w:val="003C68D5"/>
    <w:rsid w:val="003E2B87"/>
    <w:rsid w:val="003F7673"/>
    <w:rsid w:val="00410A1C"/>
    <w:rsid w:val="00412ABD"/>
    <w:rsid w:val="00447535"/>
    <w:rsid w:val="004608D3"/>
    <w:rsid w:val="00461006"/>
    <w:rsid w:val="004C2E53"/>
    <w:rsid w:val="004D38D7"/>
    <w:rsid w:val="004F6700"/>
    <w:rsid w:val="00507D6F"/>
    <w:rsid w:val="005164D3"/>
    <w:rsid w:val="00527081"/>
    <w:rsid w:val="005451BD"/>
    <w:rsid w:val="00560041"/>
    <w:rsid w:val="0059187A"/>
    <w:rsid w:val="00591B41"/>
    <w:rsid w:val="00592411"/>
    <w:rsid w:val="005A0555"/>
    <w:rsid w:val="005C1394"/>
    <w:rsid w:val="005D264D"/>
    <w:rsid w:val="00644A92"/>
    <w:rsid w:val="00653ADA"/>
    <w:rsid w:val="006629DD"/>
    <w:rsid w:val="006731C8"/>
    <w:rsid w:val="00683ED1"/>
    <w:rsid w:val="00696806"/>
    <w:rsid w:val="00697057"/>
    <w:rsid w:val="006C4D87"/>
    <w:rsid w:val="00747635"/>
    <w:rsid w:val="00755318"/>
    <w:rsid w:val="0075717D"/>
    <w:rsid w:val="00794267"/>
    <w:rsid w:val="00794CB2"/>
    <w:rsid w:val="007D34DB"/>
    <w:rsid w:val="007D65D8"/>
    <w:rsid w:val="007E19A1"/>
    <w:rsid w:val="00805C06"/>
    <w:rsid w:val="008133B9"/>
    <w:rsid w:val="008537C8"/>
    <w:rsid w:val="008C31C5"/>
    <w:rsid w:val="008F5BF2"/>
    <w:rsid w:val="00901CAD"/>
    <w:rsid w:val="009069BF"/>
    <w:rsid w:val="00920CE9"/>
    <w:rsid w:val="00956E9A"/>
    <w:rsid w:val="00961557"/>
    <w:rsid w:val="00966A5A"/>
    <w:rsid w:val="009720CB"/>
    <w:rsid w:val="009958E8"/>
    <w:rsid w:val="00997684"/>
    <w:rsid w:val="009A56F6"/>
    <w:rsid w:val="009F618A"/>
    <w:rsid w:val="00A367AC"/>
    <w:rsid w:val="00A42F72"/>
    <w:rsid w:val="00A550A7"/>
    <w:rsid w:val="00A7041A"/>
    <w:rsid w:val="00AA0646"/>
    <w:rsid w:val="00AB20FC"/>
    <w:rsid w:val="00AC4625"/>
    <w:rsid w:val="00B13B07"/>
    <w:rsid w:val="00B64CEB"/>
    <w:rsid w:val="00B869FE"/>
    <w:rsid w:val="00B879D6"/>
    <w:rsid w:val="00B87A8B"/>
    <w:rsid w:val="00B90441"/>
    <w:rsid w:val="00B94DAD"/>
    <w:rsid w:val="00BD27CF"/>
    <w:rsid w:val="00BF4074"/>
    <w:rsid w:val="00C32F5B"/>
    <w:rsid w:val="00C40CDD"/>
    <w:rsid w:val="00C45601"/>
    <w:rsid w:val="00C46A02"/>
    <w:rsid w:val="00C477A7"/>
    <w:rsid w:val="00C55FD4"/>
    <w:rsid w:val="00CA2202"/>
    <w:rsid w:val="00CA2D3F"/>
    <w:rsid w:val="00CB2330"/>
    <w:rsid w:val="00CB2649"/>
    <w:rsid w:val="00CE20A5"/>
    <w:rsid w:val="00CE3A07"/>
    <w:rsid w:val="00CF4931"/>
    <w:rsid w:val="00D35323"/>
    <w:rsid w:val="00D43F2E"/>
    <w:rsid w:val="00D722D0"/>
    <w:rsid w:val="00DB2253"/>
    <w:rsid w:val="00DB7417"/>
    <w:rsid w:val="00E04757"/>
    <w:rsid w:val="00E0529A"/>
    <w:rsid w:val="00EA0AB8"/>
    <w:rsid w:val="00ED1543"/>
    <w:rsid w:val="00ED2925"/>
    <w:rsid w:val="00ED64BE"/>
    <w:rsid w:val="00EE36A6"/>
    <w:rsid w:val="00F02DCB"/>
    <w:rsid w:val="00F2771D"/>
    <w:rsid w:val="00F33F0A"/>
    <w:rsid w:val="00FA084C"/>
    <w:rsid w:val="00FA4296"/>
    <w:rsid w:val="00FB3F4D"/>
    <w:rsid w:val="00FB6EFC"/>
    <w:rsid w:val="00FD3C7F"/>
    <w:rsid w:val="00FD54A9"/>
    <w:rsid w:val="00FE6317"/>
    <w:rsid w:val="00FF0266"/>
    <w:rsid w:val="00FF3776"/>
    <w:rsid w:val="0A3E03DD"/>
    <w:rsid w:val="12160F3D"/>
    <w:rsid w:val="156051A2"/>
    <w:rsid w:val="1A643706"/>
    <w:rsid w:val="1DC761A8"/>
    <w:rsid w:val="229425BB"/>
    <w:rsid w:val="2DC7019F"/>
    <w:rsid w:val="31B44CCB"/>
    <w:rsid w:val="329F241C"/>
    <w:rsid w:val="379D4DCD"/>
    <w:rsid w:val="3C1E32AD"/>
    <w:rsid w:val="407F571E"/>
    <w:rsid w:val="423B4C73"/>
    <w:rsid w:val="45AD56DD"/>
    <w:rsid w:val="49D952FD"/>
    <w:rsid w:val="523D646E"/>
    <w:rsid w:val="610031EF"/>
    <w:rsid w:val="61B52C5B"/>
    <w:rsid w:val="669E696B"/>
    <w:rsid w:val="7040144D"/>
    <w:rsid w:val="71D36ECE"/>
    <w:rsid w:val="76911964"/>
    <w:rsid w:val="7A774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9"/>
    <w:qFormat/>
    <w:uiPriority w:val="9"/>
    <w:pPr>
      <w:keepNext/>
      <w:keepLines/>
      <w:spacing w:line="576" w:lineRule="exact"/>
      <w:outlineLvl w:val="0"/>
    </w:pPr>
    <w:rPr>
      <w:rFonts w:eastAsia="黑体"/>
      <w:b/>
      <w:bCs/>
      <w:kern w:val="44"/>
      <w:sz w:val="32"/>
      <w:szCs w:val="44"/>
    </w:rPr>
  </w:style>
  <w:style w:type="paragraph" w:styleId="3">
    <w:name w:val="heading 2"/>
    <w:basedOn w:val="1"/>
    <w:next w:val="1"/>
    <w:link w:val="20"/>
    <w:unhideWhenUsed/>
    <w:qFormat/>
    <w:uiPriority w:val="9"/>
    <w:pPr>
      <w:keepNext/>
      <w:keepLines/>
      <w:spacing w:line="576" w:lineRule="exact"/>
      <w:outlineLvl w:val="1"/>
    </w:pPr>
    <w:rPr>
      <w:rFonts w:ascii="Cambria" w:hAnsi="Cambria" w:eastAsia="楷体"/>
      <w:b/>
      <w:bCs/>
      <w:sz w:val="32"/>
      <w:szCs w:val="32"/>
    </w:rPr>
  </w:style>
  <w:style w:type="paragraph" w:styleId="4">
    <w:name w:val="heading 3"/>
    <w:basedOn w:val="1"/>
    <w:next w:val="1"/>
    <w:semiHidden/>
    <w:unhideWhenUsed/>
    <w:qFormat/>
    <w:uiPriority w:val="9"/>
    <w:pPr>
      <w:spacing w:beforeAutospacing="1" w:afterAutospacing="1"/>
      <w:outlineLvl w:val="2"/>
    </w:pPr>
    <w:rPr>
      <w:rFonts w:hint="eastAsia" w:cs="Times New Roman"/>
      <w:b/>
      <w:bCs/>
      <w:sz w:val="27"/>
      <w:szCs w:val="27"/>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23"/>
    <w:unhideWhenUsed/>
    <w:qFormat/>
    <w:uiPriority w:val="0"/>
    <w:rPr>
      <w:sz w:val="18"/>
      <w:szCs w:val="18"/>
    </w:rPr>
  </w:style>
  <w:style w:type="paragraph" w:styleId="6">
    <w:name w:val="footer"/>
    <w:basedOn w:val="1"/>
    <w:link w:val="22"/>
    <w:unhideWhenUsed/>
    <w:qFormat/>
    <w:uiPriority w:val="99"/>
    <w:pPr>
      <w:tabs>
        <w:tab w:val="center" w:pos="4153"/>
        <w:tab w:val="right" w:pos="8306"/>
      </w:tabs>
      <w:snapToGrid w:val="0"/>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0"/>
    <w:pPr>
      <w:spacing w:beforeAutospacing="1" w:afterAutospacing="1"/>
    </w:pPr>
    <w:rPr>
      <w:rFonts w:cs="Times New Roman"/>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列出段落1"/>
    <w:basedOn w:val="1"/>
    <w:qFormat/>
    <w:uiPriority w:val="34"/>
    <w:pPr>
      <w:ind w:firstLine="420" w:firstLineChars="200"/>
    </w:pPr>
  </w:style>
  <w:style w:type="paragraph" w:customStyle="1" w:styleId="13">
    <w:name w:val="示例"/>
    <w:next w:val="1"/>
    <w:qFormat/>
    <w:uiPriority w:val="0"/>
    <w:pPr>
      <w:widowControl w:val="0"/>
      <w:ind w:left="2411"/>
      <w:jc w:val="both"/>
    </w:pPr>
    <w:rPr>
      <w:rFonts w:ascii="宋体" w:hAnsi="Calibri" w:eastAsia="宋体" w:cs="Times New Roman"/>
      <w:sz w:val="18"/>
      <w:szCs w:val="18"/>
      <w:lang w:val="en-US" w:eastAsia="zh-CN" w:bidi="ar-SA"/>
    </w:rPr>
  </w:style>
  <w:style w:type="paragraph" w:customStyle="1" w:styleId="14">
    <w:name w:val="其他实施日期"/>
    <w:basedOn w:val="1"/>
    <w:qFormat/>
    <w:uiPriority w:val="0"/>
    <w:pPr>
      <w:framePr w:w="3997" w:h="471" w:hRule="exact" w:vSpace="181" w:wrap="around" w:vAnchor="page" w:hAnchor="page" w:x="7089" w:y="14097" w:anchorLock="1"/>
      <w:jc w:val="right"/>
    </w:pPr>
    <w:rPr>
      <w:rFonts w:eastAsia="黑体"/>
      <w:sz w:val="28"/>
      <w:szCs w:val="20"/>
    </w:rPr>
  </w:style>
  <w:style w:type="paragraph" w:customStyle="1" w:styleId="15">
    <w:name w:val="一级条标题"/>
    <w:next w:val="16"/>
    <w:qFormat/>
    <w:uiPriority w:val="0"/>
    <w:pPr>
      <w:spacing w:beforeLines="50" w:afterLines="50"/>
      <w:ind w:left="142"/>
      <w:outlineLvl w:val="2"/>
    </w:pPr>
    <w:rPr>
      <w:rFonts w:ascii="黑体" w:hAnsi="Calibri" w:eastAsia="黑体" w:cs="Times New Roman"/>
      <w:sz w:val="21"/>
      <w:szCs w:val="21"/>
      <w:lang w:val="en-US" w:eastAsia="zh-CN" w:bidi="ar-SA"/>
    </w:rPr>
  </w:style>
  <w:style w:type="paragraph" w:customStyle="1" w:styleId="16">
    <w:name w:val="段"/>
    <w:link w:val="24"/>
    <w:qFormat/>
    <w:uiPriority w:val="0"/>
    <w:pPr>
      <w:tabs>
        <w:tab w:val="center" w:pos="4201"/>
        <w:tab w:val="right" w:leader="dot" w:pos="9298"/>
      </w:tabs>
      <w:autoSpaceDE w:val="0"/>
      <w:autoSpaceDN w:val="0"/>
      <w:ind w:firstLine="420" w:firstLineChars="200"/>
      <w:jc w:val="both"/>
    </w:pPr>
    <w:rPr>
      <w:rFonts w:ascii="宋体" w:hAnsi="Calibri" w:eastAsia="宋体" w:cs="Times New Roman"/>
      <w:lang w:val="en-US" w:eastAsia="zh-CN" w:bidi="ar-SA"/>
    </w:rPr>
  </w:style>
  <w:style w:type="paragraph" w:customStyle="1" w:styleId="17">
    <w:name w:val="章标题"/>
    <w:next w:val="16"/>
    <w:qFormat/>
    <w:uiPriority w:val="0"/>
    <w:pPr>
      <w:spacing w:beforeLines="100" w:afterLines="100"/>
      <w:ind w:left="2411"/>
      <w:jc w:val="both"/>
      <w:outlineLvl w:val="1"/>
    </w:pPr>
    <w:rPr>
      <w:rFonts w:ascii="黑体" w:hAnsi="Calibri" w:eastAsia="黑体" w:cs="Times New Roman"/>
      <w:sz w:val="21"/>
      <w:lang w:val="en-US" w:eastAsia="zh-CN" w:bidi="ar-SA"/>
    </w:rPr>
  </w:style>
  <w:style w:type="paragraph" w:customStyle="1" w:styleId="18">
    <w:name w:val="其他发布部门"/>
    <w:basedOn w:val="1"/>
    <w:qFormat/>
    <w:uiPriority w:val="0"/>
    <w:pPr>
      <w:framePr w:w="7938" w:h="1134" w:hRule="exact" w:hSpace="125" w:vSpace="181" w:wrap="around" w:vAnchor="page" w:hAnchor="page" w:x="2150" w:y="15310" w:anchorLock="1"/>
      <w:spacing w:line="0" w:lineRule="atLeast"/>
      <w:jc w:val="center"/>
    </w:pPr>
    <w:rPr>
      <w:rFonts w:ascii="黑体" w:eastAsia="黑体"/>
      <w:spacing w:val="20"/>
      <w:w w:val="135"/>
      <w:sz w:val="28"/>
      <w:szCs w:val="20"/>
    </w:rPr>
  </w:style>
  <w:style w:type="character" w:customStyle="1" w:styleId="19">
    <w:name w:val="标题 1 字符"/>
    <w:link w:val="2"/>
    <w:qFormat/>
    <w:uiPriority w:val="9"/>
    <w:rPr>
      <w:rFonts w:eastAsia="黑体"/>
      <w:b/>
      <w:bCs/>
      <w:kern w:val="44"/>
      <w:sz w:val="32"/>
      <w:szCs w:val="44"/>
    </w:rPr>
  </w:style>
  <w:style w:type="character" w:customStyle="1" w:styleId="20">
    <w:name w:val="标题 2 字符"/>
    <w:link w:val="3"/>
    <w:semiHidden/>
    <w:qFormat/>
    <w:uiPriority w:val="9"/>
    <w:rPr>
      <w:rFonts w:ascii="Cambria" w:hAnsi="Cambria" w:eastAsia="楷体" w:cs="黑体"/>
      <w:b/>
      <w:bCs/>
      <w:sz w:val="32"/>
      <w:szCs w:val="32"/>
    </w:rPr>
  </w:style>
  <w:style w:type="character" w:customStyle="1" w:styleId="21">
    <w:name w:val="页眉 字符"/>
    <w:link w:val="7"/>
    <w:qFormat/>
    <w:uiPriority w:val="99"/>
    <w:rPr>
      <w:sz w:val="18"/>
      <w:szCs w:val="18"/>
    </w:rPr>
  </w:style>
  <w:style w:type="character" w:customStyle="1" w:styleId="22">
    <w:name w:val="页脚 字符"/>
    <w:link w:val="6"/>
    <w:qFormat/>
    <w:uiPriority w:val="99"/>
    <w:rPr>
      <w:sz w:val="18"/>
      <w:szCs w:val="18"/>
    </w:rPr>
  </w:style>
  <w:style w:type="character" w:customStyle="1" w:styleId="23">
    <w:name w:val="批注框文本 字符"/>
    <w:link w:val="5"/>
    <w:semiHidden/>
    <w:qFormat/>
    <w:uiPriority w:val="0"/>
    <w:rPr>
      <w:rFonts w:ascii="Calibri" w:hAnsi="Calibri" w:cs="黑体"/>
      <w:kern w:val="2"/>
      <w:sz w:val="18"/>
      <w:szCs w:val="18"/>
    </w:rPr>
  </w:style>
  <w:style w:type="character" w:customStyle="1" w:styleId="24">
    <w:name w:val="段 Char"/>
    <w:link w:val="16"/>
    <w:qFormat/>
    <w:uiPriority w:val="0"/>
    <w:rPr>
      <w:rFonts w:ascii="宋体" w:hAnsi="Calibri"/>
    </w:rPr>
  </w:style>
  <w:style w:type="paragraph" w:customStyle="1" w:styleId="25">
    <w:name w:val="Revision"/>
    <w:hidden/>
    <w:unhideWhenUsed/>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4289</Words>
  <Characters>4872</Characters>
  <Lines>88</Lines>
  <Paragraphs>24</Paragraphs>
  <TotalTime>5</TotalTime>
  <ScaleCrop>false</ScaleCrop>
  <LinksUpToDate>false</LinksUpToDate>
  <CharactersWithSpaces>5015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2024-12-09T12:26:00Z</dcterms:created>
  <dc:creator>喻宙</dc:creator>
  <cp:lastModifiedBy>李阳</cp:lastModifiedBy>
  <dcterms:modified xsi:type="dcterms:W3CDTF">2024-12-23T05:05:47Z</dcterms:modified>
  <dc:title>职业技能等级证书标准修订更新工作方案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D9773C119D3F46A9A3354E03790484D6_13</vt:lpwstr>
  </property>
</Properties>
</file>